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5189F" w14:textId="77777777" w:rsidR="00046633" w:rsidRPr="00043865" w:rsidRDefault="00046633" w:rsidP="00043865">
      <w:pPr>
        <w:spacing w:after="0" w:line="276" w:lineRule="auto"/>
        <w:jc w:val="center"/>
        <w:rPr>
          <w:rFonts w:ascii="Roboto" w:hAnsi="Roboto" w:cs="Arial"/>
          <w:b/>
          <w:bCs/>
          <w:color w:val="002060"/>
          <w:sz w:val="28"/>
          <w:szCs w:val="28"/>
        </w:rPr>
      </w:pPr>
      <w:r w:rsidRPr="00043865">
        <w:rPr>
          <w:rFonts w:ascii="Roboto" w:hAnsi="Roboto" w:cs="Arial"/>
          <w:b/>
          <w:bCs/>
          <w:color w:val="002060"/>
          <w:sz w:val="28"/>
          <w:szCs w:val="28"/>
        </w:rPr>
        <w:t>DEKLARASI PEMIMPIN G20 BALI</w:t>
      </w:r>
    </w:p>
    <w:p w14:paraId="78041FA9" w14:textId="04C85798" w:rsidR="00046633" w:rsidRPr="00043865" w:rsidRDefault="00046633" w:rsidP="00043865">
      <w:pPr>
        <w:spacing w:after="0" w:line="276" w:lineRule="auto"/>
        <w:jc w:val="center"/>
        <w:rPr>
          <w:rFonts w:ascii="Roboto" w:hAnsi="Roboto" w:cs="Times New Roman"/>
          <w:color w:val="002060"/>
        </w:rPr>
      </w:pPr>
      <w:r w:rsidRPr="00043865">
        <w:rPr>
          <w:rFonts w:ascii="Roboto" w:hAnsi="Roboto" w:cs="Arial"/>
          <w:color w:val="002060"/>
          <w:sz w:val="28"/>
          <w:szCs w:val="28"/>
        </w:rPr>
        <w:t>Bali, Indonesia, 15-16 November 2022</w:t>
      </w:r>
    </w:p>
    <w:p w14:paraId="48BB375D" w14:textId="060AD49C" w:rsidR="00046633" w:rsidRDefault="00046633" w:rsidP="006912F2">
      <w:pPr>
        <w:pStyle w:val="ListParagraph"/>
        <w:autoSpaceDE w:val="0"/>
        <w:autoSpaceDN w:val="0"/>
        <w:adjustRightInd w:val="0"/>
        <w:spacing w:after="0" w:line="240" w:lineRule="auto"/>
        <w:jc w:val="both"/>
        <w:rPr>
          <w:rFonts w:ascii="Roboto-Regular" w:hAnsi="Roboto-Regular" w:cs="Roboto-Regular"/>
        </w:rPr>
      </w:pPr>
    </w:p>
    <w:p w14:paraId="4022070E" w14:textId="1AAFFADC" w:rsidR="0022284E" w:rsidRDefault="00A21A2E"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22284E">
        <w:rPr>
          <w:rFonts w:ascii="Roboto-Regular" w:hAnsi="Roboto-Regular" w:cs="Roboto-Regular"/>
        </w:rPr>
        <w:t>Empat belas tahun lalu, para Pemimpin G20 bertemu untuk pertama kalinya, menghadapi krisis keuangan terparah di generasi kita. Kami menyadari, sebagai ekonomi global yang besar, bahwa secara kolektif kami memikul tanggung jawab dan bahwa kerja sama kami diperlukan untuk pemulihan ekonomi global, untuk mengatasi tantangan global, dan meletakkan dasar untuk pertumbuhan yang kuat, berkelanjutan, seimbang, dan inklusif. Kami menetapkan G20 sebagai forum utama untuk kerja sama ekonomi global, dan hari ini kami menegaskan kembali komitmen kami untuk bekerja sama karena kami, sekali lagi, mengatasi tantangan ekonomi global yang serius.</w:t>
      </w:r>
    </w:p>
    <w:p w14:paraId="6C3791C7"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599E5242" w14:textId="2AE0608D" w:rsidR="0022284E" w:rsidRDefault="0022284E"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22284E">
        <w:rPr>
          <w:rFonts w:ascii="Roboto-Regular" w:hAnsi="Roboto-Regular" w:cs="Roboto-Regular"/>
        </w:rPr>
        <w:t>Kami bertemu di Bali pada 15-16 November 2022, di saat krisis multidimensi yang tak tertandingi. Kita telah mengalami kehancuran yang ditimbulkan oleh pandemi Covid-19, dan tantangan lainnya termasuk perubahan iklim, yang menyebabkan kemerosotan ekonomi, peningkatan kemiskinan, memperlambat pemulihan global, dan menghambat pencapaian Tujuan Pembangunan Berkelanjutan.</w:t>
      </w:r>
    </w:p>
    <w:p w14:paraId="7167557C" w14:textId="77777777" w:rsidR="006912F2" w:rsidRPr="006912F2" w:rsidRDefault="006912F2" w:rsidP="006912F2">
      <w:pPr>
        <w:pStyle w:val="ListParagraph"/>
        <w:rPr>
          <w:rFonts w:ascii="Roboto-Regular" w:hAnsi="Roboto-Regular" w:cs="Roboto-Regular"/>
        </w:rPr>
      </w:pPr>
    </w:p>
    <w:p w14:paraId="72C2F440" w14:textId="64A5F7B0" w:rsidR="0022284E" w:rsidRDefault="0022284E"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22284E">
        <w:rPr>
          <w:rFonts w:ascii="Roboto-Regular" w:hAnsi="Roboto-Regular" w:cs="Roboto-Regular"/>
        </w:rPr>
        <w:t>Tahun ini, kita juga menyaksikan perang di Ukraina berdampak lebih buruk terhadap ekonomi global. Ada diskusi tentang masalah ini. Kami menegaskan kembali posisi nasional kami sebagaimana dinyatakan dalam forum lain, termasuk Dewan Keamanan PBB dan Majelis Umum PBB, yang, dalam Resolusi No. ES-11/1 tanggal 2 Maret 2022, yang diadopsi dengan suara mayoritas (141 suara setuju, 5 menentang , 35 abstain, 12 absen) menyesalkan dengan sangat keras agresi oleh Federasi Rusia terhadap Ukraina dan menuntut penarikan penuh dan tanpa syarat dari wilayah Ukraina. Sebagian besar anggota mengutuk keras perang di Ukraina dan menekankan hal itu menyebabkan penderitaan manusia yang luar biasa dan memperburuk kerentanan yang ada dalam ekonomi global - menghambat pertumbuhan, meningkatkan inflasi, mengganggu rantai pasokan, meningkatkan kerawanan energi dan pangan, dan meningkatkan risiko stabilitas keuangan. Ada pandangan lain dan penilaian berbeda tentang situasi dan sanksi. Menyadari bahwa G20 bukanlah forum untuk menyelesaikan masalah keamanan, kami mengakui bahwa masalah keamanan dapat memiliki konsekuensi yang signifikan terhadap ekonomi global.</w:t>
      </w:r>
    </w:p>
    <w:p w14:paraId="4E1C160B"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13174F94" w14:textId="09F04F3C" w:rsidR="006912F2" w:rsidRDefault="0022284E"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22284E">
        <w:rPr>
          <w:rFonts w:ascii="Roboto-Regular" w:hAnsi="Roboto-Regular" w:cs="Roboto-Regular"/>
        </w:rPr>
        <w:t>Sangat penting untuk menegakkan hukum internasional dan sistem multilateral yang menjaga perdamaian dan stabilitas. Ini termasuk membela semua Tujuan dan Prinsip yang diabadikan dalam Piagam Perserikatan Bangsa-Bangsa dan mematuhi hukum humaniter internasional, termasuk perlindungan warga sipil dan infrastruktur dalam konflik bersenjata. Penggunaan atau ancaman penggunaan senjata nuklir tidak dapat diterima. Penyelesaian konflik secara damai, upaya mengatasi krisis, serta diplomasi dan dialog, sangat penting. Zaman sekarang tidak boleh perang.</w:t>
      </w:r>
    </w:p>
    <w:p w14:paraId="631C75CE" w14:textId="77777777" w:rsidR="006912F2" w:rsidRPr="006912F2" w:rsidRDefault="006912F2" w:rsidP="006912F2">
      <w:pPr>
        <w:autoSpaceDE w:val="0"/>
        <w:autoSpaceDN w:val="0"/>
        <w:adjustRightInd w:val="0"/>
        <w:spacing w:after="0" w:line="240" w:lineRule="auto"/>
        <w:jc w:val="both"/>
        <w:rPr>
          <w:rFonts w:ascii="Roboto-Regular" w:hAnsi="Roboto-Regular" w:cs="Roboto-Regular"/>
        </w:rPr>
      </w:pPr>
    </w:p>
    <w:p w14:paraId="488BBFB2" w14:textId="5987D279" w:rsidR="0022284E" w:rsidRDefault="0022284E"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22284E">
        <w:rPr>
          <w:rFonts w:ascii="Roboto-Regular" w:hAnsi="Roboto-Regular" w:cs="Roboto-Regular"/>
        </w:rPr>
        <w:t xml:space="preserve">Pada momen kritis ekonomi global saat ini, G20 harus mengambil tindakan yang nyata, tepat, cepat, dan perlu, dengan menggunakan semua alat kebijakan yang tersedia, untuk mengatasi tantangan bersama, termasuk melalui kerja sama kebijakan makro internasional dan kerja sama nyata. Dengan demikian, kami tetap berkomitmen untuk mendukung negara-negara berkembang, khususnya negara-negara kurang berkembang dan pulau kecil berkembang, dalam menanggapi tantangan global ini dan mencapai SDGs. Sejalan dengan tema Presidensi G20 Indonesia — Pulih Bersama, Pulih Lebih Kuat — kami akan mengambil tindakan terkoordinasi untuk memajukan </w:t>
      </w:r>
      <w:r w:rsidRPr="0022284E">
        <w:rPr>
          <w:rFonts w:ascii="Roboto-Regular" w:hAnsi="Roboto-Regular" w:cs="Roboto-Regular"/>
        </w:rPr>
        <w:lastRenderedPageBreak/>
        <w:t>agenda pemulihan global yang kuat, inklusif, dan tangguh serta pembangunan berkelanjutan yang menghasilkan lapangan kerja dan pertumbuhan. Dengan mengingat hal di atas, kami akan:</w:t>
      </w:r>
    </w:p>
    <w:p w14:paraId="5261867B" w14:textId="77777777" w:rsidR="006212E3" w:rsidRPr="006212E3" w:rsidRDefault="006212E3" w:rsidP="006212E3">
      <w:pPr>
        <w:pStyle w:val="ListParagraph"/>
        <w:rPr>
          <w:rFonts w:ascii="Roboto-Regular" w:hAnsi="Roboto-Regular" w:cs="Roboto-Regular"/>
        </w:rPr>
      </w:pPr>
    </w:p>
    <w:p w14:paraId="4BA7F0F3" w14:textId="7949D9D5" w:rsidR="006912F2" w:rsidRDefault="0022284E" w:rsidP="006912F2">
      <w:pPr>
        <w:pStyle w:val="ListParagraph"/>
        <w:numPr>
          <w:ilvl w:val="0"/>
          <w:numId w:val="7"/>
        </w:numPr>
        <w:autoSpaceDE w:val="0"/>
        <w:autoSpaceDN w:val="0"/>
        <w:adjustRightInd w:val="0"/>
        <w:spacing w:after="0" w:line="240" w:lineRule="auto"/>
        <w:ind w:left="1418"/>
        <w:jc w:val="both"/>
        <w:rPr>
          <w:rFonts w:ascii="Roboto-Regular" w:hAnsi="Roboto-Regular" w:cs="Roboto-Regular"/>
        </w:rPr>
      </w:pPr>
      <w:r w:rsidRPr="0022284E">
        <w:rPr>
          <w:rFonts w:ascii="Roboto-Regular" w:hAnsi="Roboto-Regular" w:cs="Roboto-Regular"/>
        </w:rPr>
        <w:t>Tetap gesit dan fleksibel dalam respons dan kerja sama kebijakan ekonomi makro kami. Kami akan melakukan investasi publik dan reformasi struktural, mendorong investasi swasta, dan memperkuat perdagangan multilateral dan ketahanan rantai pasokan global, untuk mendukung pertumbuhan jangka panjang, transisi yang berkelanjutan dan inklusif, hijau dan adil. Kami akan memastikan kesinambungan fiskal jangka panjang, dengan bank sentral kami berkomitmen untuk mencapai stabilitas harga.</w:t>
      </w:r>
    </w:p>
    <w:p w14:paraId="34D5C0F5" w14:textId="77777777" w:rsidR="006912F2" w:rsidRDefault="006912F2" w:rsidP="006912F2">
      <w:pPr>
        <w:pStyle w:val="ListParagraph"/>
        <w:autoSpaceDE w:val="0"/>
        <w:autoSpaceDN w:val="0"/>
        <w:adjustRightInd w:val="0"/>
        <w:spacing w:after="0" w:line="240" w:lineRule="auto"/>
        <w:ind w:left="1418"/>
        <w:jc w:val="both"/>
        <w:rPr>
          <w:rFonts w:ascii="Roboto-Regular" w:hAnsi="Roboto-Regular" w:cs="Roboto-Regular"/>
        </w:rPr>
      </w:pPr>
    </w:p>
    <w:p w14:paraId="09EF6022" w14:textId="075849F4" w:rsidR="006912F2" w:rsidRDefault="0022284E" w:rsidP="006912F2">
      <w:pPr>
        <w:pStyle w:val="ListParagraph"/>
        <w:numPr>
          <w:ilvl w:val="0"/>
          <w:numId w:val="7"/>
        </w:numPr>
        <w:autoSpaceDE w:val="0"/>
        <w:autoSpaceDN w:val="0"/>
        <w:adjustRightInd w:val="0"/>
        <w:spacing w:after="0" w:line="240" w:lineRule="auto"/>
        <w:ind w:left="1418"/>
        <w:jc w:val="both"/>
        <w:rPr>
          <w:rFonts w:ascii="Roboto-Regular" w:hAnsi="Roboto-Regular" w:cs="Roboto-Regular"/>
        </w:rPr>
      </w:pPr>
      <w:r w:rsidRPr="006912F2">
        <w:rPr>
          <w:rFonts w:ascii="Roboto-Regular" w:hAnsi="Roboto-Regular" w:cs="Roboto-Regular"/>
        </w:rPr>
        <w:t>Lindungi stabilitas makroekonomi dan keuangan dan tetap berkomitmen untuk menggunakan semua alat yang tersedia untuk memitigasi risiko penurunan, mencatat langkah-langkah yang diambil sejak Krisis Keuangan Global untuk memperkuat ketahanan keuangan dan mendorong keuangan berkelanjutan dan aliran modal.</w:t>
      </w:r>
    </w:p>
    <w:p w14:paraId="35B57087" w14:textId="77777777" w:rsidR="006912F2" w:rsidRPr="006912F2" w:rsidRDefault="006912F2" w:rsidP="006912F2">
      <w:pPr>
        <w:pStyle w:val="ListParagraph"/>
        <w:rPr>
          <w:rFonts w:ascii="Roboto-Regular" w:hAnsi="Roboto-Regular" w:cs="Roboto-Regular"/>
        </w:rPr>
      </w:pPr>
    </w:p>
    <w:p w14:paraId="1E502023" w14:textId="128146DF" w:rsidR="006912F2" w:rsidRDefault="0022284E" w:rsidP="006912F2">
      <w:pPr>
        <w:pStyle w:val="ListParagraph"/>
        <w:numPr>
          <w:ilvl w:val="0"/>
          <w:numId w:val="7"/>
        </w:numPr>
        <w:autoSpaceDE w:val="0"/>
        <w:autoSpaceDN w:val="0"/>
        <w:adjustRightInd w:val="0"/>
        <w:spacing w:after="0" w:line="240" w:lineRule="auto"/>
        <w:ind w:left="1418"/>
        <w:jc w:val="both"/>
        <w:rPr>
          <w:rFonts w:ascii="Roboto-Regular" w:hAnsi="Roboto-Regular" w:cs="Roboto-Regular"/>
        </w:rPr>
      </w:pPr>
      <w:r w:rsidRPr="006912F2">
        <w:rPr>
          <w:rFonts w:ascii="Roboto-Regular" w:hAnsi="Roboto-Regular" w:cs="Roboto-Regular"/>
        </w:rPr>
        <w:t>Mengambil tindakan untuk mempromosikan ketahanan pangan dan energi dan mendukung stabilitas pasar, memberikan dukungan sementara dan terarah untuk meredam dampak kenaikan harga, memperkuat dialog antara produsen dan konsumen, dan meningkatkan perdagangan dan investasi untuk kebutuhan ketahanan pangan dan energi jangka panjang, ketahanan dan sistem pangan, pupuk dan energi yang berkelanjutan.</w:t>
      </w:r>
    </w:p>
    <w:p w14:paraId="04889269" w14:textId="77777777" w:rsidR="006912F2" w:rsidRDefault="006912F2" w:rsidP="006912F2">
      <w:pPr>
        <w:pStyle w:val="ListParagraph"/>
        <w:autoSpaceDE w:val="0"/>
        <w:autoSpaceDN w:val="0"/>
        <w:adjustRightInd w:val="0"/>
        <w:spacing w:after="0" w:line="240" w:lineRule="auto"/>
        <w:ind w:left="1418"/>
        <w:jc w:val="both"/>
        <w:rPr>
          <w:rFonts w:ascii="Roboto-Regular" w:hAnsi="Roboto-Regular" w:cs="Roboto-Regular"/>
        </w:rPr>
      </w:pPr>
    </w:p>
    <w:p w14:paraId="31C3E977" w14:textId="77777777" w:rsidR="006912F2" w:rsidRDefault="0022284E" w:rsidP="006912F2">
      <w:pPr>
        <w:pStyle w:val="ListParagraph"/>
        <w:numPr>
          <w:ilvl w:val="0"/>
          <w:numId w:val="7"/>
        </w:numPr>
        <w:autoSpaceDE w:val="0"/>
        <w:autoSpaceDN w:val="0"/>
        <w:adjustRightInd w:val="0"/>
        <w:spacing w:after="0" w:line="240" w:lineRule="auto"/>
        <w:ind w:left="1418"/>
        <w:jc w:val="both"/>
        <w:rPr>
          <w:rFonts w:ascii="Roboto-Regular" w:hAnsi="Roboto-Regular" w:cs="Roboto-Regular"/>
        </w:rPr>
      </w:pPr>
      <w:r w:rsidRPr="006912F2">
        <w:rPr>
          <w:rFonts w:ascii="Roboto-Regular" w:hAnsi="Roboto-Regular" w:cs="Roboto-Regular"/>
        </w:rPr>
        <w:t>Buka investasi lebih lanjut untuk negara berpenghasilan rendah dan menengah serta negara berkembang lainnya, melalui lebih banyak variasi sumber dan instrumen pembiayaan inovatif, termasuk untuk mengkatalisasi investasi swasta, untuk mendukung pencapaian SDG. Kami meminta Bank Pembangunan Multilateral untuk memajukan tindakan untuk memobilisasi dan memberikan pembiayaan tambahan sesuai mandat mereka, untuk mendukung pencapaian SDG termasuk melalui pembangunan berkelanjutan dan investasi infrastruktur, dan menanggapi tantangan global.</w:t>
      </w:r>
    </w:p>
    <w:p w14:paraId="43E03EF1" w14:textId="77777777" w:rsidR="006912F2" w:rsidRPr="006912F2" w:rsidRDefault="006912F2" w:rsidP="00043865">
      <w:pPr>
        <w:pStyle w:val="ListParagraph"/>
        <w:spacing w:line="240" w:lineRule="auto"/>
        <w:rPr>
          <w:rFonts w:ascii="Roboto-Regular" w:hAnsi="Roboto-Regular" w:cs="Roboto-Regular"/>
        </w:rPr>
      </w:pPr>
    </w:p>
    <w:p w14:paraId="458CF533" w14:textId="7ACD51B1" w:rsidR="0022284E" w:rsidRPr="006912F2" w:rsidRDefault="0022284E" w:rsidP="006912F2">
      <w:pPr>
        <w:pStyle w:val="ListParagraph"/>
        <w:numPr>
          <w:ilvl w:val="0"/>
          <w:numId w:val="7"/>
        </w:numPr>
        <w:autoSpaceDE w:val="0"/>
        <w:autoSpaceDN w:val="0"/>
        <w:adjustRightInd w:val="0"/>
        <w:spacing w:after="0" w:line="240" w:lineRule="auto"/>
        <w:ind w:left="1418"/>
        <w:jc w:val="both"/>
        <w:rPr>
          <w:rFonts w:ascii="Roboto-Regular" w:hAnsi="Roboto-Regular" w:cs="Roboto-Regular"/>
        </w:rPr>
      </w:pPr>
      <w:r w:rsidRPr="006912F2">
        <w:rPr>
          <w:rFonts w:ascii="Roboto-Regular" w:hAnsi="Roboto-Regular" w:cs="Roboto-Regular"/>
        </w:rPr>
        <w:t>Berkomitmen kembali untuk mempercepat pencapaian SDGs, mencapai kesejahteraan bagi semua melalui pembangunan berkelanjutan.</w:t>
      </w:r>
    </w:p>
    <w:p w14:paraId="5808C739" w14:textId="4C99405F" w:rsidR="0022284E" w:rsidRDefault="0022284E" w:rsidP="006912F2">
      <w:pPr>
        <w:autoSpaceDE w:val="0"/>
        <w:autoSpaceDN w:val="0"/>
        <w:adjustRightInd w:val="0"/>
        <w:spacing w:after="0" w:line="240" w:lineRule="auto"/>
        <w:jc w:val="both"/>
        <w:rPr>
          <w:rFonts w:ascii="Roboto-Regular" w:hAnsi="Roboto-Regular" w:cs="Roboto-Regular"/>
        </w:rPr>
      </w:pPr>
    </w:p>
    <w:p w14:paraId="6BCF37FE" w14:textId="5526AA0B" w:rsidR="00D82C03" w:rsidRDefault="0022284E"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22284E">
        <w:rPr>
          <w:rFonts w:ascii="Roboto-Regular" w:hAnsi="Roboto-Regular" w:cs="Roboto-Regular"/>
        </w:rPr>
        <w:t xml:space="preserve">Kami sangat prihatin dengan tantangan terhadap ketahanan pangan global yang diperburuk oleh konflik dan ketegangan saat ini. Oleh karena itu kami berkomitmen untuk mengambil tindakan mendesak untuk menyelamatkan nyawa, mencegah kelaparan dan malnutrisi, khususnya untuk mengatasi kerentanan negara-negara berkembang, dan menyerukan percepatan transformasi menuju sistem pertanian dan rantai pasokan dan pertanian yang berkelanjutan dan tangguh. Kami berkomitmen untuk melindungi yang paling rentan dari kelaparan dengan menggunakan semua alat yang tersedia untuk mengatasi krisis pangan global. Kami akan mengambil tindakan terkoordinasi lebih lanjut untuk mengatasi tantangan ketahanan pangan termasuk lonjakan harga dan kekurangan komoditas pangan dan pupuk secara global. Mengingat upaya G20 seperti Program Pertanian dan Ketahanan Pangan Global, kami menyambut inisiatif global, regional, dan nasional dalam mendukung ketahanan pangan, dan khususnya memperhatikan kemajuan yang dibuat oleh Kelompok Penanggulangan Krisis Global Sekretaris Jenderal PBB tentang Pangan, Energi, dan </w:t>
      </w:r>
      <w:r w:rsidRPr="0022284E">
        <w:rPr>
          <w:rFonts w:ascii="Roboto-Regular" w:hAnsi="Roboto-Regular" w:cs="Roboto-Regular"/>
        </w:rPr>
        <w:lastRenderedPageBreak/>
        <w:t>Keuangan, serta respons ketahanan pangan Grup Bank Dunia dan IMF. Kami menekankan pentingnya membangun Deklarasi G20 Matera, bekerja sama untuk memproduksi dan mendistribusikan pangan secara berkelanjutan, memastikan bahwa sistem pangan berkontribusi lebih baik pada adaptasi dan mitigasi terhadap perubahan iklim, dan menghentikan dan membalikkan hilangnya keanekaragaman hayati, diversifikasi sumber pangan, mempromosikan pangan bergizi untuk semuanya, perkuat rantai nilai pangan global, regional, dan lokal, dan percepat upaya untuk mengurangi kehilangan dan pemborosan pangan. Kami juga akan menerapkan pendekatan One Health, mengintensifkan penelitian ilmu dan teknologi pangan, dan meningkatkan kapasitas pemangku kepentingan di sepanjang rantai pasokan pangan, khususnya perempuan, pemuda, petani kecil, dan petani marjinal serta nelayan.</w:t>
      </w:r>
    </w:p>
    <w:p w14:paraId="47565398" w14:textId="77777777" w:rsidR="006212E3" w:rsidRDefault="006212E3" w:rsidP="006212E3">
      <w:pPr>
        <w:pStyle w:val="ListParagraph"/>
        <w:autoSpaceDE w:val="0"/>
        <w:autoSpaceDN w:val="0"/>
        <w:adjustRightInd w:val="0"/>
        <w:spacing w:after="0" w:line="240" w:lineRule="auto"/>
        <w:jc w:val="both"/>
        <w:rPr>
          <w:rFonts w:ascii="Roboto-Regular" w:hAnsi="Roboto-Regular" w:cs="Roboto-Regular"/>
        </w:rPr>
      </w:pPr>
    </w:p>
    <w:p w14:paraId="039CB7A4" w14:textId="6931D0B0" w:rsidR="00D82C03" w:rsidRDefault="00D82C03"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82C03">
        <w:rPr>
          <w:rFonts w:ascii="Roboto-Regular" w:hAnsi="Roboto-Regular" w:cs="Roboto-Regular"/>
        </w:rPr>
        <w:t xml:space="preserve">Kami mendukung upaya internasional untuk menjaga agar rantai pasokan makanan tetap berfungsi dalam keadaan yang menantang. Kami berkomitmen untuk mengatasi kerawanan pangan dengan memastikan aksesibilitas, keterjangkauan, dan keberlanjutan pangan dan produk pangan bagi mereka yang membutuhkan, terutama di negara berkembang dan negara kurang berkembang. Kami menegaskan kembali dukungan kami untuk </w:t>
      </w:r>
      <w:r w:rsidR="000B7EC0">
        <w:rPr>
          <w:rFonts w:ascii="Roboto-Regular" w:hAnsi="Roboto-Regular" w:cs="Roboto-Regular"/>
        </w:rPr>
        <w:t>perdagangan pertanian berbasis aturan yang terbuka, transparan, inklusif, dapat diprediksi, dan non-diskriminatif berdasarkan aturan WTO. Kami menyoroti pentingnya meningkatkan prediktabilitas pasar, meminimalkan distorsi, meningkatkan kepercayaan bisnis, dan memungkinkan perdagangan pertanian dan makanan mengalir dengan lancar. Kami menegaskan kembali perlunya memperbarui aturan perdagangan pangan pertanian global dan untuk memfasilitasi perdagangan produk pertanian dan pangan, serta pentingnya tidak memberlakukan larangan ekspor atau pembatasan pangan dan pupuk dengan cara yang tidak sesuai dengan ketentuan WTO yang relevan. Kami berkomitmen untuk menjaga pasokan yang berkelanjutan, sebagian didasarkan pada sumber pangan lokal, serta diversifikasi produksi pangan dan pupuk untuk mendukung kelompok yang paling rentan dari gangguan rantai pasokan perdagangan pangan. Kami akan menghindari dampak negatif terhadap ketahanan pangan dengan sengaja. Kami berkomitmen untuk memfasilitasi pasokan kemanusiaan untuk memastikan akses ke makanan dalam situasi darurat dan meminta Negara Anggota PBB dan semua pemangku kepentingan terkait dengan sumber daya yang tersedia untuk memberikan sumbangan dan sumber daya untuk mendukung negara-negara yang paling terkena dampak krisis pangan, sebagaimana diperlukan dan berdasarkan kebutuhan yang dinilai oleh pemerintah negara-negara yang terkena dampak. Kami terus mendukung penghentian kegiatan kemanusiaan dari sanksi dan menyerukan kepada semua negara untuk mendukung tujuan ini, termasuk melalui upaya saat ini di PBB. Kami akan terus memantau secara ketat keadaan ketahanan pangan dan nutrisi global.</w:t>
      </w:r>
    </w:p>
    <w:p w14:paraId="3759B63C"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6C562EF3" w14:textId="0EDEED86" w:rsidR="00D82C03" w:rsidRDefault="00D82C03"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82C03">
        <w:rPr>
          <w:rFonts w:ascii="Roboto-Regular" w:hAnsi="Roboto-Regular" w:cs="Roboto-Regular"/>
        </w:rPr>
        <w:t xml:space="preserve">Kami menyambut baik dua Perjanjian Istanbul yang ditengahi oleh Türkiye </w:t>
      </w:r>
      <w:r w:rsidR="000B7EC0">
        <w:rPr>
          <w:rFonts w:ascii="Roboto-Regular" w:hAnsi="Roboto-Regular" w:cs="Roboto-Regular"/>
        </w:rPr>
        <w:t>dan PBB yang ditandatangani pada 22 Juli 2022 dan terdiri dari Inisiatif Transportasi Aman Gandum dan Bahan Pangan dari Pelabuhan Ukraina (Inisiatif Butir Laut Hitam) dan Nota Kesepahaman antara Federasi Rusia dan Sekretariat Perserikatan Bangsa-Bangsa tentang Mempromosikan Produk Pangan dan Pupuk Rusia ke Pasar Dunia, tentang pengiriman biji-bijian, bahan makanan, dan pupuk/input tanpa hambatan dari Ukraina dan Federasi Rusia, untuk meredakan ketegangan dan mencegah kerawanan pangan global dan kelaparan di negara-negara berkembang. Kami menekankan pentingnya penerapannya secara penuh, tepat waktu, dan berkelanjutan oleh semua pemangku kepentingan terkait, serta seruan Sekretaris Jenderal PBB untuk melanjutkan upaya ini oleh Para Pihak. Dalam konteks ini kami menyoroti upaya-</w:t>
      </w:r>
      <w:r w:rsidR="000B7EC0">
        <w:rPr>
          <w:rFonts w:ascii="Roboto-Regular" w:hAnsi="Roboto-Regular" w:cs="Roboto-Regular"/>
        </w:rPr>
        <w:lastRenderedPageBreak/>
        <w:t>upaya lain yang memastikan aliran barang pertanian pangan seperti Jalur Solidaritas UE dan sumbangan pupuk Rusia yang difasilitasi oleh Program Pangan Dunia. Selain itu, kami mencatat berbagai prakarsa yang mengatasi kerawanan pangan seperti prakarsa Kelompok Koordinasi Arab.</w:t>
      </w:r>
    </w:p>
    <w:p w14:paraId="2784E5A7"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4FF1E73B" w14:textId="55D1C1C3" w:rsidR="00D82C03" w:rsidRDefault="00D82C03"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82C03">
        <w:rPr>
          <w:rFonts w:ascii="Roboto-Regular" w:hAnsi="Roboto-Regular" w:cs="Roboto-Regular"/>
        </w:rPr>
        <w:t>Kami berkomitmen untuk mendukung penerapan praktik dan teknologi inovatif, termasuk inovasi digital dalam sistem pertanian dan pangan untuk meningkatkan produktivitas dan keberlanjutan yang selaras dengan alam serta mempromosikan mata pencaharian petani dan nelayan serta meningkatkan pendapatan, khususnya petani kecil dengan meningkatkan efisiensi, dan pemerataan akses ke rantai pasokan makanan. Kami akan mempromosikan investasi yang bertanggung jawab dalam penelitian pertanian dan sains serta pendekatan berbasis bukti. Kami akan terus memperkuat Sistem Informasi Pasar Pertanian (AMIS) sebagai alat peringatan dini, untuk meningkatkan transparansi pasar pangan dan pupuk/input, mengurangi ketidakpastian pasar, dan mendukung tanggapan kebijakan yang terkoordinasi untuk ketahanan pangan dan gizi, melalui berbagi informasi yang andal dan data dan informasi tepat waktu.</w:t>
      </w:r>
    </w:p>
    <w:p w14:paraId="7753F4D5" w14:textId="77777777" w:rsidR="006212E3" w:rsidRPr="006212E3" w:rsidRDefault="006212E3" w:rsidP="006212E3">
      <w:pPr>
        <w:pStyle w:val="ListParagraph"/>
        <w:rPr>
          <w:rFonts w:ascii="Roboto-Regular" w:hAnsi="Roboto-Regular" w:cs="Roboto-Regular"/>
        </w:rPr>
      </w:pPr>
    </w:p>
    <w:p w14:paraId="2349075E" w14:textId="306AF8C8" w:rsidR="00475AC4" w:rsidRDefault="00D82C03"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82C03">
        <w:rPr>
          <w:rFonts w:ascii="Roboto-Regular" w:hAnsi="Roboto-Regular" w:cs="Roboto-Regular"/>
        </w:rPr>
        <w:t>Kami meminta Organisasi Pangan dan Pertanian (FAO) dan Kelompok Bank Dunia (WBG) untuk berbagi dengan kami hasil latihan pemetaan mereka tentang kerawanan pangan, yang akan dikonsolidasikan di masa mendatang dengan masukan dari pakar teknis dan organisasi internasional terkait lainnya, dan akan memberikan analisis tanggapan yang sistematis untuk mengatasi ketahanan pangan. Ini akan mengidentifikasi kesenjangan besar dalam respons global; mengkaji variabel dan pendanaan pangan dan gizi; mengkaji pasokan dan permintaan pupuk; dibangun di atas Sistem Informasi Pasar Pertanian G20 (AMIS); dan mengidentifikasi masalah jangka menengah yang memerlukan analisis teknis dan sistemik lebih lanjut. FAO dan WBG akan melaporkan kembali pada Pertemuan Musim Semi 2023.</w:t>
      </w:r>
    </w:p>
    <w:p w14:paraId="12D6E494"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5C6C1E80" w14:textId="590BC606" w:rsidR="00475AC4" w:rsidRDefault="00475AC4"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475AC4">
        <w:rPr>
          <w:rFonts w:ascii="Roboto-Regular" w:hAnsi="Roboto-Regular" w:cs="Roboto-Regular"/>
        </w:rPr>
        <w:t>Kami bertemu pada saat krisis iklim dan energi, ditambah dengan tantangan geopolitik. Kami mengalami ketidakstabilan harga energi dan pasar serta kekurangan/gangguan pasokan energi. Kami menggarisbawahi urgensi untuk mengubah dan mendiversifikasi sistem energi dengan cepat, memajukan keamanan dan ketahanan energi, serta stabilitas pasar, dengan mempercepat dan memastikan transisi energi yang bersih, berkelanjutan, adil, terjangkau, dan inklusif serta aliran investasi berkelanjutan. Kami menekankan pentingnya memastikan bahwa permintaan energi global disesuaikan dengan pasokan energi yang terjangkau. Kami menegaskan kembali komitmen kami untuk mencapai net zero emisi gas rumah kaca/netralitas karbon global pada atau sekitar pertengahan abad, sambil mempertimbangkan perkembangan ilmiah terbaru dan keadaan nasional yang berbeda. Kami menyerukan dukungan berkelanjutan untuk negara-negara berkembang, terutama di negara-negara yang paling rentan, dalam hal menyediakan akses ke energi yang terjangkau, andal, berkelanjutan, dan modern, peningkatan kapasitas, teknologi terkini yang terjangkau dalam domain publik, kerja sama teknologi yang saling menguntungkan, dan mitigasi pembiayaan kegiatan di bidang energi.</w:t>
      </w:r>
    </w:p>
    <w:p w14:paraId="33B8C03A"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464A5F4A" w14:textId="194AE44E" w:rsidR="007E35BC" w:rsidRDefault="00475AC4"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475AC4">
        <w:rPr>
          <w:rFonts w:ascii="Roboto-Regular" w:hAnsi="Roboto-Regular" w:cs="Roboto-Regular"/>
        </w:rPr>
        <w:t xml:space="preserve">Kami menegaskan kembali komitmen kami untuk mencapai target SDG 7 dan berupaya menutup kesenjangan akses energi dan memberantas kemiskinan energi. Menyadari peran kepemimpinan kami, dan dipandu oleh Bali Compact dan Peta Jalan Transisi Energi Bali, kami berkomitmen untuk menemukan solusi untuk mencapai stabilitas, transparansi, dan keterjangkauan pasar energi. Kami akan mempercepat </w:t>
      </w:r>
      <w:r w:rsidRPr="00475AC4">
        <w:rPr>
          <w:rFonts w:ascii="Roboto-Regular" w:hAnsi="Roboto-Regular" w:cs="Roboto-Regular"/>
        </w:rPr>
        <w:lastRenderedPageBreak/>
        <w:t>transisi dan mencapai tujuan iklim kami dengan memperkuat rantai pasokan energi dan keamanan energi, serta mendiversifikasi campuran dan sistem energi. Kami akan dengan cepat meningkatkan penerapan pembangkit listrik nol dan rendah emisi, termasuk sumber daya energi terbarukan, dan langkah-langkah untuk meningkatkan efisiensi energi, teknologi pengurangan serta teknologi penghilangan, dengan mempertimbangkan keadaan nasional. Kami menyadari pentingnya untuk mempercepat pengembangan, penyebaran dan penyebaran teknologi, dan adopsi kebijakan, untuk transisi menuju sistem energi rendah emisi, termasuk dengan cepat meningkatkan penyebaran pembangkit listrik bersih, termasuk energi terbarukan, serta energi langkah-langkah efisiensi, termasuk mempercepat upaya penghentian bertahap pembangkit listrik tenaga batubara, sejalan dengan kondisi nasional dan mengakui perlunya dukungan menuju transisi yang adil. Kami akan meningkatkan upaya kami untuk mengimplementasikan komitmen yang dibuat pada tahun 2009 di Pittsburgh untuk menghapus dan merasionalisasi, dalam jangka menengah, subsidi bahan bakar fosil yang tidak efisien yang mendorong konsumsi yang boros dan berkomitmen untuk mencapai tujuan ini, sambil memberikan dukungan yang ditargetkan untuk yang paling miskin dan paling miskin. paling rentan. Kami akan memperkuat kerja sama internasional serta dialog produsen-konsumen yang relevan untuk mengamankan keterjangkauan dan aksesibilitas energi dengan membatasi volatilitas harga energi dan meningkatkan teknologi yang bersih, aman, inklusif, dan berkelanjutan, termasuk mengembangkan interkonektivitas energi regional. Kami berkomitmen untuk mempromosikan investasi dalam infrastruktur dan industri yang berkelanjutan, serta teknologi inovatif dan berbagai mekanisme fiskal, pasar, dan peraturan untuk mendukung transisi energi bersih, termasuk, jika sesuai, penggunaan mekanisme penetapan harga dan non-penetapan karbon, dan insentif, sambil memberikan dukungan yang ditargetkan untuk yang paling miskin dan paling rentan.</w:t>
      </w:r>
    </w:p>
    <w:p w14:paraId="65E0633B"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452F38B9" w14:textId="692547C5" w:rsidR="007E35BC" w:rsidRDefault="00475AC4"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7E35BC">
        <w:rPr>
          <w:rFonts w:ascii="Roboto-Regular" w:hAnsi="Roboto-Regular" w:cs="Roboto-Regular"/>
        </w:rPr>
        <w:t xml:space="preserve">Mengingat peran kepemimpinan kami, kami menegaskan kembali komitmen teguh kami, dalam mengejar </w:t>
      </w:r>
      <w:r w:rsidR="007E35BC" w:rsidRPr="007E35BC">
        <w:rPr>
          <w:rFonts w:ascii="Roboto-Regular" w:hAnsi="Roboto-Regular" w:cs="Roboto-Regular"/>
        </w:rPr>
        <w:t>tujuan UNFCCC, untuk mengatasi perubahan iklim dengan memperkuat implementasi penuh dan efektif dari Perjanjian Paris dan sasaran suhunya, yang mencerminkan kesetaraan dan prinsip tanggung jawab bersama tetapi berbeda dan kemampuan masing-masing mengingat keadaan nasional yang berbeda. Kami akan memainkan peran kami sepenuhnya dalam mengimplementasikan Pakta Iklim Glasgow dan hasil yang relevan dari COP dan CMA sebelumnya, khususnya COP 26, termasuk seruan untuk meninjau kembali dan memperkuat target 2030 di NDC kami, sebagaimana diperlukan agar selaras dengan Perjanjian Paris. Dalam hal ini, kami menyambut baik peningkatan aksi iklim yang dihasilkan dari NDC baru atau yang diperbarui dan mengundang para pihak untuk segera meningkatkan ambisi mitigasi dan adaptasi serta sarana implementasi serta membuat kemajuan dalam kerugian dan kerusakan pada COP 27 yang diadakan di Afrika. Memperhatikan penilaian IPCC bahwa dampak perubahan iklim akan jauh lebih rendah pada kenaikan suhu 1,5°C dibandingkan dengan 2°C, kami memutuskan untuk melakukan upaya untuk membatasi kenaikan suhu hingga 1,5°C. Ini akan memerlukan tindakan dan komitmen yang bermakna dan efektif oleh semua negara, dengan mempertimbangkan pendekatan yang berbeda, melalui pengembangan jalur nasional yang jelas yang menyelaraskan ambisi jangka panjang dengan tujuan jangka pendek dan menengah, dan dengan kerja sama dan dukungan internasional, termasuk keuangan dan teknologi, dan konsumsi dan produksi yang berkelanjutan dan bertanggung jawab sebagai pendukung penting, dalam konteks pembangunan berkelanjutan.</w:t>
      </w:r>
    </w:p>
    <w:p w14:paraId="2DEAD272"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72DE39E1" w14:textId="7B59ED13" w:rsidR="007E35BC" w:rsidRDefault="007E35BC"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7E35BC">
        <w:rPr>
          <w:rFonts w:ascii="Roboto-Regular" w:hAnsi="Roboto-Regular" w:cs="Roboto-Regular"/>
        </w:rPr>
        <w:lastRenderedPageBreak/>
        <w:t>Kami menyambut kemajuan hingga saat ini menuju pencapaian Kerangka Kerja Keanekaragaman Hayati Global (GBF) Pasca 2020. Kami mendesak semua pihak dan negara untuk menyelesaikan dan mengadopsi GBF dengan tujuan mewujudkan Visi 2050 “Hidup selaras dengan Alam” pada bagian kedua COP15 CBD sebagai kerangka kerja yang kuat untuk tindakan dan akuntabilitas untuk menghentikan dan memulihkan hilangnya keanekaragaman hayati oleh 2030 dan, sebagaimana mestinya, memperbarui Strategi dan Rencana Aksi Keanekaragaman Hayati Nasional. Kami menekankan pentingnya mencapai dan mensinergikan tujuan dari ketiga Konvensi Rio. Kami menekankan perlunya tujuan dan target yang jelas dan terukur untuk keanekaragaman hayati dan sarana implementasi dan akuntabilitas. Kami berkomitmen untuk memperkuat tindakan untuk menghentikan dan membalikkan hilangnya keanekaragaman hayati pada tahun 2030 dan meminta Pihak CBD untuk mengadopsi Kerangka Kerja Keanekaragaman Hayati Global pasca-2020 yang ambisius, seimbang, praktis, efektif, kuat, dan transformatif pada COP-15 di Montreal. Kami mendesak peningkatan mobilisasi sumber daya dari semua sumber, termasuk dari negara dan entitas, untuk menyediakan sumber daya keuangan baru dan tambahan untuk pelaksanaan GBF, setelah dinegosiasikan, termasuk untuk membantu memungkinkan dan mendukung pihak negara berkembang, dan untuk menyelaraskan sektor swasta dan arus keuangan publik dengan tujuan keanekaragaman hayati. Kami akan meningkatkan upaya untuk memerangi hilangnya keanekaragaman hayati, deforestasi, penggurunan, degradasi lahan dan kekeringan, serta memulihkan lahan terdegradasi untuk mencapai netralitas degradasi lahan pada tahun 2030, dan untuk mendukung ambisi G20 untuk mengurangi degradasi lahan hingga 50% pada tahun 2040 pada dasar sukarela. Kami mengakui upaya yang dilakukan oleh sejumlah negara untuk memastikan bahwa setidaknya 30% daratan global dan setidaknya 30% lautan dan lautan global dilestarikan atau dilindungi pada tahun 2030 dan kami akan membantu membuat kemajuan menuju tujuan ini sesuai dengan keadaan nasional. Kami berkomitmen untuk mengurangi dampak lingkungan dengan mengubah pola konsumsi dan produksi yang tidak berkelanjutan serta meningkatkan pengelolaan limbah yang ramah lingkungan termasuk dengan mencegah lalu lintas limbah ilegal lintas batas.</w:t>
      </w:r>
    </w:p>
    <w:p w14:paraId="43E8E5F7"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2AF6727A" w14:textId="563F3CB0" w:rsidR="007E35BC" w:rsidRDefault="007E35BC"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7E35BC">
        <w:rPr>
          <w:rFonts w:ascii="Roboto-Regular" w:hAnsi="Roboto-Regular" w:cs="Roboto-Regular"/>
        </w:rPr>
        <w:t xml:space="preserve">Kami akan meningkatkan upaya untuk menghentikan dan memulihkan hilangnya keanekaragaman hayati, termasuk melalui Solusi Berbasis Alam dan Pendekatan Berbasis Ekosistem, mendukung mitigasi dan adaptasi iklim, meningkatkan konservasi dan perlindungan lingkungan, penggunaan dan pemulihan berkelanjutan, menanggapi bencana alam, mengurangi degradasi ekosistem, meningkatkan layanan ekosistem </w:t>
      </w:r>
      <w:r w:rsidR="000B7EC0">
        <w:rPr>
          <w:rFonts w:ascii="Roboto-Regular" w:hAnsi="Roboto-Regular" w:cs="Roboto-Regular"/>
        </w:rPr>
        <w:t xml:space="preserve">dan untuk mengatasi masalah yang mempengaruhi lingkungan laut dan pesisir. Kami akan terus mempromosikan pembangunan dan gaya hidup berkelanjutan, efisiensi sumber daya, dan ekonomi sirkular untuk meningkatkan keberlanjutan dan bekerja sama dalam berbagi pengetahuan ilmiah, meningkatkan kesadaran, dan peningkatan kapasitas, khususnya untuk memajukan aksi iklim berbasis laut. Kami berkomitmen untuk mengakhiri penangkapan ikan yang ilegal, tidak dilaporkan, dan tidak diatur. Kami menyambut baik Perjanjian multilateral WTO tentang Subsidi Perikanan dan mendorong pemberlakuannya secara cepat. Sejalan dengan Resolusi UNEA 5/14, kami berkomitmen untuk mengembangkan instrumen yang mengikat secara hukum internasional tentang pencemaran plastik, termasuk di lingkungan laut, dengan ambisi menyelesaikan pekerjaan pada akhir tahun 2024. Kami menyoroti kemajuan yang dicapai dan menelepon tentang delegasi yang berpartisipasi untuk mencapai kesepakatan yang ambisius dan berimbang tanpa penundaan tentang instrumen yang mengikat secara hukum internasional di bawah </w:t>
      </w:r>
      <w:r w:rsidR="000B7EC0">
        <w:rPr>
          <w:rFonts w:ascii="Roboto-Regular" w:hAnsi="Roboto-Regular" w:cs="Roboto-Regular"/>
        </w:rPr>
        <w:lastRenderedPageBreak/>
        <w:t>UNCLOS tentang konservasi dan pemanfaatan berkelanjutan keanekaragaman hayati laut di wilayah di luar yurisdiksi nasional, sebagaimana disebutkan dalam Resolusi UNGA 69/292. Kami juga mengakui bahwa ekosistem, termasuk hutan, padang lamun, terumbu karang, ekosistem lahan basah dengan segala keanekaragamannya, termasuk lahan gambut dan mangrove, mendukung upaya mitigasi dan adaptasi perubahan iklim.</w:t>
      </w:r>
    </w:p>
    <w:p w14:paraId="031170A9"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0C110460" w14:textId="56FEC11B" w:rsidR="002019B4" w:rsidRDefault="007E35BC"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7E35BC">
        <w:rPr>
          <w:rFonts w:ascii="Roboto-Regular" w:hAnsi="Roboto-Regular" w:cs="Roboto-Regular"/>
        </w:rPr>
        <w:t>Kami mengakui kebutuhan mendesak untuk memperkuat kebijakan dan memobilisasi pembiayaan, dari semua sumber dengan cara yang dapat diprediksi, memadai, dan tepat waktu untuk mengatasi perubahan iklim, hilangnya keanekaragaman hayati, dan degradasi lingkungan termasuk peningkatan dukungan yang signifikan bagi negara-negara berkembang. Kami mengingatkan dan selanjutnya mendesak negara-negara maju untuk memenuhi komitmen mereka untuk mencapai tujuan memobilisasi bersama USD 100 miliar per tahun segera pada tahun 2020 dan hingga 2025 dalam konteks tindakan mitigasi yang berarti dan transparansi implementasi. Kami juga mendukung musyawarah berkelanjutan untuk tujuan terukur bersama yang ambisius dari pembiayaan iklim dari batas bawah USD 100 miliar per tahun untuk mendukung negara-negara berkembang, yang membantu dalam memenuhi tujuan UNFCCC dan implementasi Perjanjian Paris. Kami menekankan pentingnya transparansi dalam pelaksanaan janji. Kami juga mengingat Pakta Iklim Glasgow yang mendesak negara-negara maju untuk setidaknya menggandakan ketentuan pendanaan iklim bersama mereka untuk adaptasi ke negara-negara berkembang, dari tingkat 2019, hingga 2025, dalam rangka mencapai keseimbangan antara mitigasi dan adaptasi dalam ketentuan peningkatan skala sumber daya keuangan, mengingat Pasal 9 Perjanjian Paris.</w:t>
      </w:r>
    </w:p>
    <w:p w14:paraId="754EDA2A"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3CA38F07" w14:textId="6D148387" w:rsidR="002019B4" w:rsidRDefault="007E35BC"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7E35BC">
        <w:rPr>
          <w:rFonts w:ascii="Roboto-Regular" w:hAnsi="Roboto-Regular" w:cs="Roboto-Regular"/>
        </w:rPr>
        <w:t>Dalam rangka memperkuat upaya global untuk mencapai tujuan United Nations Framework Convention on Climate Change (UNFCCC) dan tujuan Perjanjian Paris, serta mengimplementasikan komitmen COP26, kami menegaskan kembali bahwa bauran kebijakan kami menuju netralitas karbon dan bersih nol harus mencakup berbagai mekanisme fiskal, pasar dan peraturan termasuk, jika sesuai, penggunaan mekanisme dan insentif penetapan harga dan non-penetapan harga karbon, dan menghapus dan merasionalkan, dalam jangka menengah, subsidi bahan bakar fosil yang tidak efisien yang mendorong konsumsi yang boros dan berkomitmen untuk mencapai tujuan ini, sambil memberikan dukungan yang ditargetkan kepada yang paling miskin dan paling rentan, dan sejalan dengan keadaan nasional. Kami mengakui risiko ekonomi makro yang berasal dari perubahan iklim dan akan melanjutkan diskusi tentang biaya dan manfaat dari berbagai transisi.</w:t>
      </w:r>
    </w:p>
    <w:p w14:paraId="68DCADBD" w14:textId="77777777" w:rsidR="006912F2" w:rsidRPr="006912F2" w:rsidRDefault="006912F2" w:rsidP="006912F2">
      <w:pPr>
        <w:pStyle w:val="ListParagraph"/>
        <w:rPr>
          <w:rFonts w:ascii="Roboto-Regular" w:hAnsi="Roboto-Regular" w:cs="Roboto-Regular"/>
        </w:rPr>
      </w:pPr>
    </w:p>
    <w:p w14:paraId="4722DD32" w14:textId="5BDB6B82" w:rsidR="002019B4" w:rsidRDefault="007E35BC"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7E35BC">
        <w:rPr>
          <w:rFonts w:ascii="Roboto-Regular" w:hAnsi="Roboto-Regular" w:cs="Roboto-Regular"/>
        </w:rPr>
        <w:t xml:space="preserve">Kami berkomitmen untuk mengambil tindakan dalam mendukung transisi yang tertib, adil dan terjangkau untuk mencapai tujuan Agenda Pembangunan Berkelanjutan 2030 sejalan dengan UNFCCC dan Perjanjian Paris serta dengan konvensi Keanekaragaman Hayati. Kami menyambut baik kemajuan yang dibuat di seluruh G20, organisasi internasional, jaringan dan inisiatif internasional lainnya, dan sektor swasta dalam menangani prioritas Peta Jalan Keuangan Berkelanjutan G20, yang bersifat sukarela dan fleksibel, dan menyerukan upaya lebih lanjut untuk memajukan Rencana Jalan tindakan yang direkomendasikan yang akan meningkatkan pembiayaan keberlanjutan. Kami menyambut baik pembentukan dashboard online Kelompok Kerja Keuangan Berkelanjutan dan gudang pekerjaan yang relevan, untuk menggambarkan kemajuan yang sedang berlangsung dan masa depan yang dibuat pada Roadmap, dan mendorong anggota untuk berkontribusi secara sukarela, dengan mempertimbangkan keadaan negara. Kami mendukung Laporan Keuangan </w:t>
      </w:r>
      <w:r w:rsidRPr="007E35BC">
        <w:rPr>
          <w:rFonts w:ascii="Roboto-Regular" w:hAnsi="Roboto-Regular" w:cs="Roboto-Regular"/>
        </w:rPr>
        <w:lastRenderedPageBreak/>
        <w:t>Berkelanjutan G20 2022 yang mengartikulasikan rekomendasi praktis dan sukarela untuk yurisdiksi dan pemangku kepentingan terkait dalam mengembangkan kerangka keuangan transisi, meningkatkan kredibilitas komitmen nol bersih lembaga keuangan dan meningkatkan instrumen keuangan berkelanjutan, dengan fokus pada peningkatan aksesibilitas dan keterjangkauan . Kami juga menyambut diskusi berharga selama Forum Kepresidenan tentang pengungkit kebijakan yang memberi insentif pembiayaan dan investasi untuk mendukung transisi.</w:t>
      </w:r>
    </w:p>
    <w:p w14:paraId="0BB82E4D"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268AE621" w14:textId="2AEA4360" w:rsidR="00E10EA4" w:rsidRDefault="00435C7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2019B4">
        <w:rPr>
          <w:rFonts w:ascii="Roboto-Regular" w:hAnsi="Roboto-Regular" w:cs="Roboto-Regular"/>
        </w:rPr>
        <w:t xml:space="preserve">Kami tetap berkomitmen untuk mempromosikan pemulihan yang sehat dan berkelanjutan yang dibangun untuk mencapai dan mempertahankan Cakupan Kesehatan Universal di bawah SDGs. Sementara pandemi COVID-19 belum berakhir, Organisasi Kesehatan Dunia (WHO) baru-baru ini menyatakan cacar monyet sebagai Kepedulian Darurat Kesehatan Masyarakat Internasional (PHEIC) lainnya, memperkuat bahwa ancaman kesehatan internasional selalu ada dan bahwa G20 dan komunitas global yang lebih luas harus datang bersama-sama untuk meningkatkan kemampuan pencegahan, kesiapsiagaan, dan respons kolektif kita. Kami menegaskan kembali pentingnya penguatan sistem kesehatan nasional dengan menempatkan masyarakat sebagai pusat </w:t>
      </w:r>
      <w:r w:rsidR="00724631">
        <w:rPr>
          <w:rFonts w:ascii="Roboto-Regular" w:hAnsi="Roboto-Regular" w:cs="Roboto-Regular"/>
        </w:rPr>
        <w:t>kesiapsiagaan dan memperlengkapi mereka untuk merespons secara efektif. Kami menekankan perlunya akses yang adil terhadap penanggulangan medis pandemi, dan menyambut baik upaya ACT-A, dan mencatat bahwa hasil evaluasi eksternal ACT-A dapat menjadi pelajaran yang berguna untuk diskusi di masa mendatang. Kami menegaskan kembali komitmen kami untuk memperkuat tata kelola kesehatan global, dengan peran kepemimpinan dan koordinasi WHO serta dukungan dari organisasi internasional lainnya. Kami mendukung pekerjaan Badan Perundingan Antarpemerintah (INB) yang akan menyusun dan menegosiasikan instrumen yang mengikat secara hukum yang harus mengandung elemen yang mengikat secara hukum dan tidak mengikat secara hukum untuk memperkuat PPR pandemi dan kelompok kerja tentang Peraturan Kesehatan Internasional yang akan mempertimbangkan amandemen Peraturan Kesehatan Internasional (IHR) (2005) mengingat bahwa keputusan akan dibuat oleh Majelis Kesehatan Dunia.</w:t>
      </w:r>
    </w:p>
    <w:p w14:paraId="0A6721A5"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4F66FDED" w14:textId="5BC91BD3" w:rsidR="00E10EA4" w:rsidRDefault="002019B4"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E10EA4">
        <w:rPr>
          <w:rFonts w:ascii="Roboto-Regular" w:hAnsi="Roboto-Regular" w:cs="Roboto-Regular"/>
        </w:rPr>
        <w:t xml:space="preserve">Panel Independen Tingkat Tinggi G20, serta WHO dan Bank Dunia memperkirakan ada kesenjangan pembiayaan PPR pandemi tahunan sekitar USD 10 miliar. Seperti yang diprakarsai oleh Presidensi G20 Arab Saudi, Presidensi G20 Italia dan dilanjutkan oleh Presidensi G20 Indonesia, kami menyambut baik penyediaan sumber daya keuangan tambahan, untuk membantu mendanai kesenjangan kritis dalam penerapan IHR (2005) dan meningkatkan kapasitas PPR. Dalam hal ini, kami menyambut baik pembentukan Dana Perantara Keuangan baru untuk PPR Pandemi ('Dana Pandemi') yang diselenggarakan oleh Bank Dunia. Ini bertujuan untuk mengatasi kesenjangan PPR pandemi yang kritis dan membangun kapasitas di tingkat nasional, regional dan global, menambah sumber daya keuangan untuk PPR pandemi, mengkatalisasi investasi pelengkap, dan memfasilitasi pendekatan yang terkoordinasi dan koheren untuk penguatan PPR pandemi. Kami menyambut keanggotaan inklusif dan perwakilan Pandemic Fund dari negara berpenghasilan rendah dan menengah, organisasi masyarakat sipil dan donor, dan mengakui keahlian teknis dan peran koordinasi pusat WHO dalam upaya ini, yang mencerminkan peran kepemimpinannya dalam arsitektur kesehatan global. Kami menghargai kerja Sekretariat yang diselenggarakan oleh Bank Dunia, dengan WHO sebagai pimpinan teknis dan sebagai ketua Panel Penasihat Teknis. Kami menantikan peluncuran panggilan pertama Dana Pandemi untuk proposal sesegera mungkin. </w:t>
      </w:r>
      <w:r w:rsidR="00E10EA4" w:rsidRPr="00E10EA4">
        <w:rPr>
          <w:rFonts w:ascii="Roboto-Regular" w:hAnsi="Roboto-Regular" w:cs="Roboto-Regular"/>
        </w:rPr>
        <w:t xml:space="preserve">Kami </w:t>
      </w:r>
      <w:r w:rsidR="00E10EA4" w:rsidRPr="00E10EA4">
        <w:rPr>
          <w:rFonts w:ascii="Roboto-Regular" w:hAnsi="Roboto-Regular" w:cs="Roboto-Regular"/>
        </w:rPr>
        <w:lastRenderedPageBreak/>
        <w:t>berkomitmen untuk meningkatkan kapasitas negara-negara berkembang untuk PPR pandemi melalui Dana Pandemi, dan menantikan peninjauan inventarisasi Dana Pandemi pada akhir tahun pertama untuk menarik pelajaran yang dipetik dan memasukkan setiap perubahan yang diperlukan untuk memastikannya beroperasi sesuai dengan dokumen pemerintahannya dan efektif dalam mengisi kesenjangan PPR kritis, dan terus memiliki peran koordinasi sentral untuk WHO, mempertahankan hubungan yang kuat dengan G20, dan mencakup perspektif negara berpenghasilan rendah dan menengah dan mitra non-G20 tambahan dalam pengambilan keputusannya. Kami menghargai janji dari para donor saat ini, berjumlah lebih dari USD 1,4 miliar, dan mendorong janji sukarela tambahan. Kami meminta donor baru untuk bergabung dengan Dana Pandemi, karena mereka mampu.</w:t>
      </w:r>
    </w:p>
    <w:p w14:paraId="72E8E029"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3856D6CE" w14:textId="6AEC84F2" w:rsidR="00E10EA4" w:rsidRDefault="00E10EA4"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E10EA4">
        <w:rPr>
          <w:rFonts w:ascii="Roboto-Regular" w:hAnsi="Roboto-Regular" w:cs="Roboto-Regular"/>
        </w:rPr>
        <w:t>Penting untuk melanjutkan kolaborasi antara Kementerian Keuangan dan Kementerian Kesehatan untuk PPR pandemi. Kami memperluas mandat Satuan Tugas, dan meminta Sekretariat Satuan Tugas untuk bekerja dengan ketua bersama Satuan Tugas, Presidensi G20 India yang akan datang, Troika G20, dan anggota G20 untuk menyepakati rencana kerja Satuan Tugas untuk tahun 2023, dengan mempertimbangkan cakrawala perencanaan multi-tahun. Kami berterima kasih kepada WHO karena terus menjadi tuan rumah Sekretariat, dengan dukungan dari Bank Dunia. Pada tahun 2023 Gugus Tugas akan terus diketuai bersama oleh Indonesia dan Italia, mewakili perspektif ekonomi maju dan berkembang, dan akan terus memanfaatkan keahlian dari WHO, Lembaga Keuangan Internasional dan organisasi terkait lainnya, dengan dukungan dari Indian 2023 Kepresidenan G20. Untuk memperluas suara negara-negara berpenghasilan rendah, kami mengundang organisasi-organisasi regional utama untuk bergabung dalam pertemuan-pertemuan Satuan Tugas, sebagaimana mestinya. Kami akan bekerja sama dengan WHO untuk memastikan Gugus Tugas terus melengkapi arsitektur PPR pandemi global dan tidak ada lagi duplikasi dan fragmentasi sistem tata kelola kesehatan global. Menyampaikan mandat dari Deklarasi Pemimpin Roma G20, pada tahun 2023 Gugus Tugas akan terus mengembangkan pengaturan koordinasi antara Kementerian Keuangan dan Kementerian Kesehatan, dan berbagi praktik terbaik dan pengalaman dari koordinasi keuangan-kesehatan sebelumnya untuk mengembangkan tanggapan bersama terhadap pandemi, sebagaimana sesuai. Satuan Tugas akan melakukan pekerjaan untuk lebih memahami risiko ekonomi dan kerentanan dari pandemi, dan bagaimana memitigasinya, dengan fokus pada koordinasi keuangan dan kesehatan dalam menanggapi pandemi baru, dengan mempertimbangkan keadaan khusus negara dan mengakui pentingnya pekerjaan lebih lanjut pada sumber daya. mobilisasi. Kami meminta Gugus Tugas untuk melaporkan kembali ke Menteri Keuangan dan Kesehatan pada tahun 2023 tentang perkembangannya.</w:t>
      </w:r>
    </w:p>
    <w:p w14:paraId="0EB52217"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7EF68E09" w14:textId="55E98EAA" w:rsidR="00D247BD" w:rsidRDefault="00E10EA4"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E10EA4">
        <w:rPr>
          <w:rFonts w:ascii="Roboto-Regular" w:hAnsi="Roboto-Regular" w:cs="Roboto-Regular"/>
        </w:rPr>
        <w:t xml:space="preserve">Kami menyadari bahwa imunisasi COVID-19 yang ekstensif adalah barang publik global dan kami akan memajukan upaya kami untuk memastikan akses yang tepat waktu, merata, dan universal ke vaksin, terapi, dan diagnostik (VTD) yang aman, terjangkau, berkualitas, dan efektif. Mengakui adopsi Deklarasi Menteri tentang Tanggapan WTO terhadap Pandemi COVID-19 dan Kesiapsiagaan untuk Pandemi di Masa Depan dan Keputusan Menteri tentang Perjanjian TRIPS pada Konferensi Tingkat Menteri ke-12 WTO (MC12), kami mencatat bahwa, tidak lebih dari enam bulan sejak tanggal Keputusan Menteri tentang Perjanjian TRIPS, anggota WTO akan memutuskan perpanjangannya untuk mencakup produksi dan pasokan diagnostik dan terapeutik COVID-19. Kami tetap berkomitmen untuk menanamkan pendekatan One Health multisektoral dan meningkatkan pengawasan global, termasuk pengawasan </w:t>
      </w:r>
      <w:r w:rsidRPr="00E10EA4">
        <w:rPr>
          <w:rFonts w:ascii="Roboto-Regular" w:hAnsi="Roboto-Regular" w:cs="Roboto-Regular"/>
        </w:rPr>
        <w:lastRenderedPageBreak/>
        <w:t>genomik, untuk mendeteksi patogen dan resistensi antimikroba (AMR) yang dapat mengancam kesehatan manusia. Untuk memungkinkan pengawasan patogen global sebagai bagian dari komitmen kami untuk menerapkan IHR (2005), kami mendorong pembagian data patogen secara tepat waktu pada platform bersama dan terpercaya bekerja sama dengan WHO. Kami mendorong pembagian manfaat yang timbul dari pemanfaatan patogen sesuai dengan undang-undang nasional yang berlaku.</w:t>
      </w:r>
    </w:p>
    <w:p w14:paraId="7C130671"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1558EA63" w14:textId="00EB1278" w:rsidR="00D247BD" w:rsidRDefault="00D247BD"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247BD">
        <w:rPr>
          <w:rFonts w:ascii="Roboto-Regular" w:hAnsi="Roboto-Regular" w:cs="Roboto-Regular"/>
        </w:rPr>
        <w:t>Kami menyadari kebutuhan untuk memperkuat kapasitas dan kerjasama produksi produk kesehatan lokal dan regional serta jaringan penelitian dan pengembangan global dan regional yang berkelanjutan untuk memfasilitasi akses yang lebih baik ke VTD secara global, terutama di negara berkembang, dan menggarisbawahi pentingnya kemitraan publik-swasta, dan transfer teknologi dan berbagi pengetahuan secara sukarela dan kesepakatan bersama. Kami mendukung pusat Transfer Teknologi Vaksin mRNA WHO serta semua juru bicara di semua wilayah di dunia dengan tujuan berbagi teknologi dan pengetahuan teknis dengan persyaratan sukarela dan disepakati bersama. Kami menyambut baik penelitian bersama dan produksi vaksin bersama, termasuk peningkatan kerja sama di antara negara-negara berkembang. Kami mengakui pentingnya standar teknis dan metode verifikasi bersama, di bawah kerangka IHR (2005), untuk memfasilitasi perjalanan internasional yang mulus, interoperabilitas, dan mengenali solusi digital dan solusi non-digital, termasuk bukti vaksinasi. Kami mendukung kelanjutan dialog dan kolaborasi internasional dalam pembentukan jaringan kesehatan digital global tepercaya sebagai bagian dari upaya untuk memperkuat pencegahan dan respons terhadap pandemi di masa depan, yang harus memanfaatkan dan mengembangkan keberhasilan standar dan sertifikat digital COVID-19 yang ada.</w:t>
      </w:r>
    </w:p>
    <w:p w14:paraId="55302AFB"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56F4D7EF" w14:textId="33EDD187" w:rsidR="00D247BD" w:rsidRDefault="00D247BD"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247BD">
        <w:rPr>
          <w:rFonts w:ascii="Roboto-Regular" w:hAnsi="Roboto-Regular" w:cs="Roboto-Regular"/>
        </w:rPr>
        <w:t>Pandemi COVID-19 telah mempercepat transformasi ekosistem digital dan ekonomi digital. Kami menyadari pentingnya transformasi digital dalam mencapai SDGs. Kami mengakui bahwa konektivitas digital yang terjangkau dan berkualitas tinggi sangat penting untuk inklusi digital dan transformasi digital, sementara lingkungan online yang tangguh, aman, dan terjamin diperlukan untuk meningkatkan keyakinan dan kepercayaan pada ekonomi digital. Kami menyadari pentingnya kebijakan untuk menciptakan ekonomi digital yang memungkinkan, inklusif, terbuka, adil, dan non-diskriminatif yang mendorong penerapan teknologi baru, memungkinkan bisnis dan wirausaha berkembang, serta melindungi dan memberdayakan konsumen, sambil mengatasi tantangan, terkait dengan kesenjangan digital, privasi, perlindungan data, hak kekayaan intelektual, dan keamanan online. Kami mengakui pentingnya melawan kampanye disinformasi, ancaman dunia maya, penyalahgunaan online, dan memastikan keamanan dalam infrastruktur konektivitas. Kami tetap berkomitmen untuk lebih mengaktifkan aliran bebas data dengan kepercayaan dan mempromosikan aliran data lintas batas. Kami akan memajukan transformasi digital yang lebih inklusif, berpusat pada manusia, memberdayakan, dan berkelanjutan. Kami juga menegaskan kembali peran data untuk pembangunan, pertumbuhan ekonomi dan kesejahteraan sosial.</w:t>
      </w:r>
    </w:p>
    <w:p w14:paraId="458BEE07"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75F7881C" w14:textId="24374F0C" w:rsidR="00DD4019" w:rsidRDefault="00D247BD"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247BD">
        <w:rPr>
          <w:rFonts w:ascii="Roboto-Regular" w:hAnsi="Roboto-Regular" w:cs="Roboto-Regular"/>
        </w:rPr>
        <w:t xml:space="preserve">Kami mendorong kolaborasi internasional untuk lebih mengembangkan keterampilan digital dan literasi digital untuk memanfaatkan dampak positif transformasi digital, terutama bagi perempuan, anak perempuan, dan orang-orang dalam situasi rentan, serta mendukung lebih lanjut upaya untuk mengembangkan keterampilan dan literasi yang andal. Kami mencatat meningkatnya permintaan akan tenaga kerja yang mahir dalam memanfaatkan teknologi baru, pendidikan dan pelatihan, pelatihan ulang dan </w:t>
      </w:r>
      <w:r w:rsidRPr="00D247BD">
        <w:rPr>
          <w:rFonts w:ascii="Roboto-Regular" w:hAnsi="Roboto-Regular" w:cs="Roboto-Regular"/>
        </w:rPr>
        <w:lastRenderedPageBreak/>
        <w:t>peningkatan keterampilan untuk memenuhi tuntutan tersebut. Kami juga berupaya meningkatkan konektivitas dengan mempercepat kapasitas tinggi dan infrastruktur yang aman serta menyediakan sumber daya dan alat yang lebih mudah diakses dan terjangkau, sekaligus meningkatkan keterampilan literasi digital peserta didik, guru, pemimpin sekolah, dan profesional pendidikan lainnya untuk memastikan akses pendidikan universal, mempercepat pemulihan pembelajaran dan mempromosikan pembelajaran seumur hidup.</w:t>
      </w:r>
    </w:p>
    <w:p w14:paraId="4EA8CF48" w14:textId="77777777" w:rsidR="006912F2" w:rsidRPr="006912F2" w:rsidRDefault="006912F2" w:rsidP="006912F2">
      <w:pPr>
        <w:pStyle w:val="ListParagraph"/>
        <w:rPr>
          <w:rFonts w:ascii="Roboto-Regular" w:hAnsi="Roboto-Regular" w:cs="Roboto-Regular"/>
        </w:rPr>
      </w:pPr>
    </w:p>
    <w:p w14:paraId="346016F9" w14:textId="3EAF08F3" w:rsidR="00DD4019" w:rsidRDefault="00DD4019"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D4019">
        <w:rPr>
          <w:rFonts w:ascii="Roboto-Regular" w:hAnsi="Roboto-Regular" w:cs="Roboto-Regular"/>
        </w:rPr>
        <w:t>Kami menemukan teknologi digital menjadi kunci untuk pemulihan dan pemberdayaan di berbagai sektor, termasuk dalam membangun sistem pangan dan pertanian yang tangguh dan berkelanjutan, menciptakan pekerjaan yang berkelanjutan dan layak serta pengembangan kapasitas manusia, mendukung perdagangan inklusif, industrialisasi dan investasi, serta meningkatkan produktivitas. sebagai pembukaan potensi ekonomi masa depan khususnya bagi Usaha Mikro, Kecil dan Menengah (UMKM) dan start-up. Sangat penting untuk memastikan bahwa tidak ada yang tertinggal dalam upaya kita untuk mengubah masyarakat kita secara digital, dengan melibatkan semua pemangku kepentingan, termasuk pemuda, perempuan, sektor bisnis, lembaga audit, parlemen, ilmuwan, dan buruh.</w:t>
      </w:r>
    </w:p>
    <w:p w14:paraId="3594FEDD" w14:textId="77777777" w:rsidR="006912F2" w:rsidRPr="006912F2" w:rsidRDefault="006912F2" w:rsidP="006912F2">
      <w:pPr>
        <w:pStyle w:val="ListParagraph"/>
        <w:rPr>
          <w:rFonts w:ascii="Roboto-Regular" w:hAnsi="Roboto-Regular" w:cs="Roboto-Regular"/>
        </w:rPr>
      </w:pPr>
    </w:p>
    <w:p w14:paraId="14F62473" w14:textId="302A8787" w:rsidR="002E4760" w:rsidRDefault="00DD4019"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D4019">
        <w:rPr>
          <w:rFonts w:ascii="Roboto-Regular" w:hAnsi="Roboto-Regular" w:cs="Roboto-Regular"/>
        </w:rPr>
        <w:t>Kami mendukung implementasi yang berkelanjutan dari Peta Jalan G20 untuk Meningkatkan Pembayaran Lintas Batas, termasuk penyampaian perkiraan awal untuk indikator kinerja utama dan Laporan Kemajuan 2022 di masa mendatang yang menetapkan prioritas untuk tahap kerja berikutnya. Kami mendorong bank sentral, otoritas publik lainnya, dan industri pembayaran untuk terus bekerja sama dalam inisiatif penting ini untuk meningkatkan pembayaran lintas batas. Kami menyambut baik laporan Bank for International Settlements (BIS) Committee on Payments and Market Infrastructures (CPMI) tentang sistem pembayaran interlinking dan peran Application Programming Interfaces (APIs) yang dipresentasikan dalam lokakarya bersama oleh Presidensi G20 Indonesia dalam koordinasi dengan BIS CPMI dan BIS Innovation Hub (BISIH) tentang pembayaran lintas negara dan interoperabilitas di Festival Ekonomi</w:t>
      </w:r>
      <w:r w:rsidR="00043865">
        <w:rPr>
          <w:rFonts w:ascii="Roboto-Regular" w:hAnsi="Roboto-Regular" w:cs="Roboto-Regular"/>
        </w:rPr>
        <w:t xml:space="preserve"> </w:t>
      </w:r>
      <w:r w:rsidRPr="00DD4019">
        <w:rPr>
          <w:rFonts w:ascii="Roboto-Regular" w:hAnsi="Roboto-Regular" w:cs="Roboto-Regular"/>
        </w:rPr>
        <w:t>Keuangan Digital Indonesia (FEKDI) 2022. Kami juga menyambut baik laporan bersama oleh BIS CPMI, BISIH, IMF, dan Bank Dunia tentang opsi akses dan interoperabilitas Central Bank Digital Currencies (CBDCs) untuk pembayaran lintas batas.</w:t>
      </w:r>
    </w:p>
    <w:p w14:paraId="12F7B7CC" w14:textId="77777777" w:rsidR="006912F2" w:rsidRPr="006912F2" w:rsidRDefault="006912F2" w:rsidP="006912F2">
      <w:pPr>
        <w:autoSpaceDE w:val="0"/>
        <w:autoSpaceDN w:val="0"/>
        <w:adjustRightInd w:val="0"/>
        <w:spacing w:after="0" w:line="240" w:lineRule="auto"/>
        <w:jc w:val="both"/>
        <w:rPr>
          <w:rFonts w:ascii="Roboto-Regular" w:hAnsi="Roboto-Regular" w:cs="Roboto-Regular"/>
        </w:rPr>
      </w:pPr>
    </w:p>
    <w:p w14:paraId="264A4DCE" w14:textId="2C5BB477" w:rsidR="002E4760" w:rsidRDefault="002E4760"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2E4760">
        <w:rPr>
          <w:rFonts w:ascii="Roboto-Regular" w:hAnsi="Roboto-Regular" w:cs="Roboto-Regular"/>
        </w:rPr>
        <w:t>Kami mendukung Kerangka Kerja Inklusi Keuangan G20 tentang Memanfaatkan Digitalisasi untuk Meningkatkan Produktivitas dan Mendorong Ekonomi yang Berkelanjutan dan Inklusif untuk Perempuan, Pemuda dan UMKM atau Kerangka Kerja Inklusi Keuangan Yogyakarta yang dipandu oleh Rencana Aksi Inklusi Keuangan G20 2020. Untuk mengatasi perkembangan digitalisasi dan keuangan berkelanjutan, serta mendukung inklusi dan kesejahteraan keuangan, kami mendukung Prinsip Tingkat Tinggi G20/OECD yang diperbarui tentang Perlindungan Konsumen Keuangan dan menyambut Prinsip Tingkat Tinggi G20/OECD yang diperbarui tentang Pembiayaan UKM.</w:t>
      </w:r>
    </w:p>
    <w:p w14:paraId="55A93B81" w14:textId="77777777" w:rsidR="006912F2" w:rsidRPr="006912F2" w:rsidRDefault="006912F2" w:rsidP="006912F2">
      <w:pPr>
        <w:pStyle w:val="ListParagraph"/>
        <w:rPr>
          <w:rFonts w:ascii="Roboto-Regular" w:hAnsi="Roboto-Regular" w:cs="Roboto-Regular"/>
        </w:rPr>
      </w:pPr>
    </w:p>
    <w:p w14:paraId="3A934670" w14:textId="35FE83AA" w:rsidR="00933B7D" w:rsidRDefault="002E4760"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2E4760">
        <w:rPr>
          <w:rFonts w:ascii="Roboto-Regular" w:hAnsi="Roboto-Regular" w:cs="Roboto-Regular"/>
        </w:rPr>
        <w:t xml:space="preserve">Untuk mendukung ambisi kolektif kita untuk pulih bersama, pulih lebih kuat, kami berkomitmen pada kebijakan yang terkalibrasi dengan baik, terencana dengan baik, dan dikomunikasikan dengan baik untuk mendukung pemulihan berkelanjutan, dengan mempertimbangkan keadaan spesifik negara. Kami berkomitmen untuk memitigasi dampak buruk untuk mendukung pertumbuhan yang kuat, berkelanjutan, seimbang, dan inklusif. Kami akan tetap gesit dan fleksibel dalam respons kebijakan </w:t>
      </w:r>
      <w:r w:rsidRPr="002E4760">
        <w:rPr>
          <w:rFonts w:ascii="Roboto-Regular" w:hAnsi="Roboto-Regular" w:cs="Roboto-Regular"/>
        </w:rPr>
        <w:lastRenderedPageBreak/>
        <w:t>fiskal kami, siap menyesuaikan diri dengan keadaan yang berubah sesuai kebutuhan. Langkah-langkah sementara dan terarah untuk membantu mempertahankan daya beli kelompok yang paling rentan dan meredam dampak kenaikan harga komoditas, termasuk harga energi dan pangan, harus dirancang dengan baik agar tidak menambah tekanan inflasi yang tinggi. Kami akan terus meningkatkan kerja sama kebijakan makro, menjaga stabilitas keuangan dan kesinambungan fiskal jangka panjang, serta melindungi dari risiko penurunan dan limpahan negatif . Kebijakan makroprudensial perlu tetap diwaspadai untuk mengantisipasi meningkatnya risiko sistemik seiring kondisi keuangan yang semakin ketat. Menyadari bahwa banyak mata uang telah bergerak secara signifikan tahun ini dengan volatilitas yang meningkat, kami menegaskan kembali komitmen yang dibuat pada nilai tukar oleh Menteri Keuangan dan Gubernur Bank Indonesia pada April 2021. Kami juga menegaskan kembali pentingnya kerja sama global dan menyampaikan apresiasi kami kepada Presidensi G20 Indonesia atas upayanya mempertahankan sistem multilateralisme yang efektif melalui G20.</w:t>
      </w:r>
    </w:p>
    <w:p w14:paraId="61BE56B3"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1FD2FF7F" w14:textId="5E10F415" w:rsidR="00933B7D" w:rsidRDefault="002E4760"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933B7D">
        <w:rPr>
          <w:rFonts w:ascii="Roboto-Regular" w:hAnsi="Roboto-Regular" w:cs="Roboto-Regular"/>
        </w:rPr>
        <w:t>Bank sentral G20 berkomitmen kuat untuk mencapai stabilitas harga, sejalan dengan mandat masing-masing. Untuk itu, mereka memantau dengan cermat dampak tekanan harga terhadap ekspektasi inflasi dan akan terus mengkalibrasi dengan tepat laju pengetatan kebijakan moneter dengan cara yang bergantung pada data dan dikomunikasikan dengan jelas, memastikan bahwa ekspektasi inflasi tetap terjangkar dengan baik, sambil memperhatikan melindungi pemulihan dan membatasi limpahan lintas negara . Independensi bank sentral sangat penting untuk mencapai tujuan ini dan mendukung kredibilitas kebijakan moneter.</w:t>
      </w:r>
    </w:p>
    <w:p w14:paraId="4B70A86A" w14:textId="77777777" w:rsidR="006912F2" w:rsidRPr="006912F2" w:rsidRDefault="006912F2" w:rsidP="006912F2">
      <w:pPr>
        <w:autoSpaceDE w:val="0"/>
        <w:autoSpaceDN w:val="0"/>
        <w:adjustRightInd w:val="0"/>
        <w:spacing w:after="0" w:line="240" w:lineRule="auto"/>
        <w:jc w:val="both"/>
        <w:rPr>
          <w:rFonts w:ascii="Roboto-Regular" w:hAnsi="Roboto-Regular" w:cs="Roboto-Regular"/>
        </w:rPr>
      </w:pPr>
    </w:p>
    <w:p w14:paraId="24066AEB" w14:textId="28ED3432" w:rsidR="009B7001" w:rsidRDefault="00933B7D"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933B7D">
        <w:rPr>
          <w:rFonts w:ascii="Roboto-Regular" w:hAnsi="Roboto-Regular" w:cs="Roboto-Regular"/>
        </w:rPr>
        <w:t xml:space="preserve">Kami berkomitmen untuk segera menerapkan paket pajak internasional dua pilar OECD/G20. Kami menyambut kemajuan di Pilar Satu. Kami juga menyambut baik kemajuan pada Aturan Model Pilar Dua Global Anti-Base Erosion ( GloBE ), yang membuka jalan untuk implementasi yang konsisten di tingkat global sebagai pendekatan umum, dan kami menantikan penyelesaian </w:t>
      </w:r>
      <w:r w:rsidR="006912F2">
        <w:rPr>
          <w:rFonts w:ascii="Roboto-Regular" w:hAnsi="Roboto-Regular" w:cs="Roboto-Regular"/>
        </w:rPr>
        <w:t xml:space="preserve">Kerangka Implementasi </w:t>
      </w:r>
      <w:r w:rsidRPr="00933B7D">
        <w:rPr>
          <w:rFonts w:ascii="Roboto-Regular" w:hAnsi="Roboto-Regular" w:cs="Roboto-Regular"/>
        </w:rPr>
        <w:t xml:space="preserve">GloBE . </w:t>
      </w:r>
      <w:r w:rsidR="006912F2">
        <w:rPr>
          <w:rFonts w:ascii="Roboto-Regular" w:hAnsi="Roboto-Regular" w:cs="Roboto-Regular"/>
        </w:rPr>
        <w:t>Kami menyerukan OECD/G20 Inclusive Framework on Base Erosion and Profit Shifting (BEPS) untuk menyelesaikan Pilar Satu, termasuk masalah yang tersisa dan dengan menandatangani Konvensi Multilateral pada paruh pertama tahun 2023, dan untuk menyelesaikan negosiasi Peraturan Subjek Pajak (STTR) di bawah Pilar Dua yang memungkinkan pengembangan Instrumen Multilateral untuk pelaksanaannya. Kami akan bekerja untuk memperkuat agenda pajak dan pembangunan sehubungan dengan Simposium Menteri G20 Juli 2022 tentang Perpajakan dan Pembangunan, dan kami mencatat Peta Jalan G20/OECD tentang Negara Berkembang dan Pajak Internasional. Kami mendukung kemajuan yang dibuat dalam penerapan standar transparansi pajak yang disepakati secara internasional, termasuk upaya regional dan menyambut baik penandatanganan Deklarasi Asia Initiative Bali pada Juli 2022. Kami juga menyambut Kerangka Pelaporan Aset Kripto dan amandemen Standar Pelaporan Bersama, keduanya yang kami anggap sebagai tambahan integral pada standar global untuk pertukaran informasi otomatis. Kami meminta OECD untuk menyelesaikan pekerjaan pada paket implementasi, termasuk jadwal yang memungkinkan, dan mengundang Forum Global tentang Transparansi dan Pertukaran Informasi untuk Keperluan Pajak untuk membangun komitmen dan proses pemantauannya untuk memastikan implementasi kedua paket secara luas oleh yurisdiksi terkait.</w:t>
      </w:r>
    </w:p>
    <w:p w14:paraId="2EF81E8F"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5E0DA9E8" w14:textId="7FB916DB" w:rsidR="009B7001" w:rsidRDefault="009B7001"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9B7001">
        <w:rPr>
          <w:rFonts w:ascii="Roboto-Regular" w:hAnsi="Roboto-Regular" w:cs="Roboto-Regular"/>
        </w:rPr>
        <w:lastRenderedPageBreak/>
        <w:t>Kami menegaskan kembali komitmen kami untuk memperkuat ketahanan keuangan jangka panjang dari arsitektur keuangan internasional, termasuk dengan mempromosikan aliran modal yang berkelanjutan, dan mengembangkan pasar modal mata uang lokal. Kami menyambut revisi Pandangan Kelembagaan IMF tentang Liberalisasi dan Pengelolaan Arus Modal dan berharap untuk melanjutkan diskusi dengan organisasi internasional tentang penerapan kerangka kerja internasional yang koheren untuk penggunaan langkah-langkah manajemen aliran modal, dengan tetap memperhatikan tujuan awal mereka. Kami menantikan kemajuan lebih lanjut dari IMF dalam mengoperasionalkan Kerangka Kerja Kebijakan Terpadu dan menyambut baik laporan Bank for International Settlements (BIS) tentang kerangka kerja stabilitas keuangan makro. Kami menyambut eksplorasi lanjutan tentang bagaimana CBDC berpotensi dirancang untuk memfasilitasi pembayaran lintas batas, sambil menjaga stabilitas dan integritas sistem moneter dan keuangan internasional. Kami menyambut baik keberhasilan penyelesaian G20 TechSprint 2022, inisiatif bersama dengan BISIH, yang telah berkontribusi pada perdebatan tentang solusi paling praktis dan layak untuk mengimplementasikan CBDC. Kami menegaskan kembali komitmen kami untuk mempertahankan Jaring Pengaman Keuangan Global yang kuat dan efektif dengan IMF yang kuat, berbasis kuota, dan memiliki sumber daya yang memadai sebagai pusatnya . Kami tetap berkomitmen untuk meninjau kembali kecukupan kuota dan akan melanjutkan proses reformasi tata kelola IMF di bawah General Review of Quotas ke-16, termasuk formula kuota baru sebagai panduan, paling lambat 15 Desember 2023. Kami mencatat kelanjutan pembahasan Kebijakan biaya tambahan IMF.</w:t>
      </w:r>
    </w:p>
    <w:p w14:paraId="7AAED7A0"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3C5A5FC2" w14:textId="70038ABE" w:rsidR="009B7001" w:rsidRDefault="009B7001"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1B1AE0">
        <w:rPr>
          <w:rStyle w:val="FootnoteReference"/>
          <w:rFonts w:ascii="Roboto-Regular" w:hAnsi="Roboto-Regular" w:cs="Roboto-Regular"/>
        </w:rPr>
        <w:footnoteReference w:id="1"/>
      </w:r>
      <w:r w:rsidR="001B1AE0">
        <w:rPr>
          <w:rFonts w:ascii="Roboto-Regular" w:hAnsi="Roboto-Regular" w:cs="Roboto-Regular"/>
        </w:rPr>
        <w:t xml:space="preserve">Kami berkomitmen untuk mendukung semua negara yang rentan untuk pulih bersama, pulih lebih kuat. Kami menyambut janji sebesar USD 81,6 miliar melalui penyaluran sukarela Hak Penarikan Khusus (SDR) atau kontribusi yang setara, dan menyerukan janji lebih lanjut dari semua negara yang bersedia dan mampu untuk memenuhi total ambisi global sebesar USD 100 miliar dari kontribusi sukarela untuk negara-negara paling banyak. sedang membutuhkan. Kami menyambut baik operasionalisasi Resilience and Sustainability Trust (RST) untuk membantu negara berpenghasilan rendah, negara bagian kecil, dan negara berpenghasilan menengah yang rentan mengatasi tantangan struktural jangka panjang yang menimbulkan risiko ekonomi makro, termasuk yang berasal dari pandemi dan perubahan iklim. Kami menyambut baik kontribusi sukarela untuk RST dan menyerukan janji tambahan dan kontribusi tepat waktu untuk itu dan untuk Pengurangan Kemiskinan dan Pertumbuhan Trust (PRGT), terutama untuk sumber daya subsidi, untuk memastikan kumpulan kontributor yang luas untuk memenuhi kebutuhan pendanaan. Kami terbuka untuk menjajaki opsi yang layak bagi negara-negara untuk secara sukarela menyalurkan SDR melalui Bank Pembangunan Multilateral (MDB), sambil menghormati kerangka hukum nasional dan kebutuhan untuk mempertahankan status aset cadangan SDR. Kami akan mengeksplorasi berbagai cara, termasuk melalui langkah-langkah pengoptimalan neraca, dan jalan potensial lainnya, untuk memaksimalkan dampak pembangunan MDB. Kami menyambut baik musyawarah awal dan mendesak MDB untuk terus membahas opsi penerapan rekomendasi Tinjauan Independen G20 atas Kerangka Kerja Kecukupan Modal MDB dalam kerangka tata kelola mereka sendiri, dan untuk menyampaikan pembaruan pada Musim Semi 2023. Hal ini akan menginformasikan perkembangan yang sedang berlangsung dari sebuah roadmap </w:t>
      </w:r>
      <w:r w:rsidR="001B1AE0">
        <w:rPr>
          <w:rFonts w:ascii="Roboto-Regular" w:hAnsi="Roboto-Regular" w:cs="Roboto-Regular"/>
        </w:rPr>
        <w:lastRenderedPageBreak/>
        <w:t>untuk implementasi rekomendasi, sambil menjaga kesinambungan keuangan jangka panjang MDB, peringkat kredit yang kuat dan status kreditur pilihan. Kami mengucapkan terima kasih atas laporan penutup Tinjauan Kepemilikan Saham 2020 dari Bank Internasional untuk Rekonstruksi dan Pembangunan (IBRD) dan menantikan Tinjauan Kepemilikan Saham 2025. Pada saat yang menantang ini, kami menegaskan kembali komitmen kami untuk meningkatkan upaya kami dalam menerapkan Kerangka Kerja Bersama untuk Perlakuan Utang di luar Inisiatif Penangguhan Layanan Utang (DSSI) dengan cara yang dapat diprediksi, tepat waktu, teratur, dan terkoordinasi. Kami menyambut kemajuan dalam hal ini, termasuk penyediaan jaminan pembiayaan untuk Zambia. Kami menyambut baik penyelesaian perlakuan utang untuk Chad dan mendorong penyelesaian tepat waktu atas perlakuan utang untuk Zambia pada awal 2023. Kami juga mendorong penyelesaian perlakuan utang untuk Ethiopia di bawah program yang didukung IMF. Kami prihatin dengan memburuknya situasi utang di beberapa negara berpenghasilan menengah yang rentan. Hal ini dapat diatasi dengan koordinasi multilateral yang melibatkan semua kreditur bilateral resmi dan swasta untuk mengambil tindakan cepat untuk menanggapi permintaan mereka atas penanganan utang. Kami menekankan pentingnya bagi kreditur swasta dan kreditur bilateral resmi lainnya untuk berkomitmen untuk memberikan perlakuan utang dengan persyaratan yang setidaknya sama baiknya untuk memastikan pembagian beban yang adil sesuai dengan prinsip perlakuan yang dapat dibandingkan. Kami menegaskan kembali pentingnya upaya bersama oleh semua pelaku, termasuk kreditur swasta, untuk terus berupaya meningkatkan transparansi utang. Kami menyambut baik upaya pemberi pinjaman sektor swasta yang telah menyumbangkan data ke Portal Repositori Data Institut Keuangan Internasional (IIF)/OECD bersama, dan terus mendorong pihak lain untuk juga berkontribusi secara sukarela.</w:t>
      </w:r>
    </w:p>
    <w:p w14:paraId="52EE92E8" w14:textId="77777777" w:rsidR="001B1AE0" w:rsidRDefault="001B1AE0" w:rsidP="001B1AE0">
      <w:pPr>
        <w:pStyle w:val="ListParagraph"/>
        <w:autoSpaceDE w:val="0"/>
        <w:autoSpaceDN w:val="0"/>
        <w:adjustRightInd w:val="0"/>
        <w:spacing w:after="0" w:line="240" w:lineRule="auto"/>
        <w:jc w:val="both"/>
        <w:rPr>
          <w:rFonts w:ascii="Roboto-Regular" w:hAnsi="Roboto-Regular" w:cs="Roboto-Regular"/>
        </w:rPr>
      </w:pPr>
    </w:p>
    <w:p w14:paraId="50E8B9BC" w14:textId="28E16065" w:rsidR="009B7001" w:rsidRDefault="009B7001"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9B7001">
        <w:rPr>
          <w:rFonts w:ascii="Roboto-Regular" w:hAnsi="Roboto-Regular" w:cs="Roboto-Regular"/>
        </w:rPr>
        <w:t xml:space="preserve">Menghadapi prospek ekonomi dan keuangan global yang semakin menantang, kami menggarisbawahi perlunya memperkuat ketahanan sistem keuangan global dan meminta Financial Stability Board (FSB) dan IMF untuk melanjutkan upaya pengawasannya. Kami berkomitmen untuk mempertahankan stabilitas keuangan global, termasuk melalui koordinasi langkah-langkah kebijakan yang berkelanjutan dan penerapan standar internasional. Kami menyambut baik laporan akhir FSB tentang strategi keluar sektor keuangan dan dampak buruk COVID-19 dan kesimpulannya mengenai masalah stabilitas keuangan pada akhir tahun 2022. Kami sangat mendukung tindakan kebijakan global untuk meningkatkan ketahanan, khususnya terhadap limpahan lintas batas , termasuk dengan mengatasi kerentanan struktural yang teridentifikasi dalam intermediasi keuangan non-bank (LKNB) dari perspektif sistemik. Untuk itu, kami menyambut baik laporan kemajuan LKNB FSB dengan usulan kebijakan untuk mengatasi risiko sistemik di LKNB, termasuk dalam dana terbuka. Kami menyambut baik laporan dari Basel Committee on Banking Supervision (BCBS), BIS Committee on Payments and Market Infrastructures (CPMI), dan International Organization of Securities Commissions (IOSCO) tentang tinjauan praktik margining. Kami mendukung pelaksanaan Peta Jalan FSB yang diperbarui untuk mengatasi risiko keuangan terkait iklim yang melengkapi Peta Jalan Keuangan Berkelanjutan G20. Data yang konsisten secara global diperlukan untuk mengatasi risiko keuangan terkait iklim secara efektif. Kami menantikan finalisasi standar oleh International Sustainability Standards Board (ISSB) untuk mendukung pengungkapan keuangan terkait iklim yang konsisten, dapat dibandingkan, dan andal secara global, serta pekerjaannya di luar iklim, dan kami menyambut baik upaya untuk mencapai interoperabilitas di seluruh kerangka pengungkapan. Kami menyambut baik laporan </w:t>
      </w:r>
      <w:r w:rsidRPr="009B7001">
        <w:rPr>
          <w:rFonts w:ascii="Roboto-Regular" w:hAnsi="Roboto-Regular" w:cs="Roboto-Regular"/>
        </w:rPr>
        <w:lastRenderedPageBreak/>
        <w:t>kemajuan FSB dalam mencapai pengungkapan keuangan terkait iklim yang konsisten dan dapat dibandingkan serta laporan akhir tentang pendekatan pengawasan dan regulasi terhadap risiko terkait iklim. Kami menyambut baik laporan FSB dan Network for Greening the Financial System (NGFS) tentang analisis skenario iklim oleh yurisdiksi.</w:t>
      </w:r>
    </w:p>
    <w:p w14:paraId="10AD367A" w14:textId="77777777" w:rsidR="00CB5A4A" w:rsidRDefault="00CB5A4A" w:rsidP="00CB5A4A">
      <w:pPr>
        <w:pStyle w:val="ListParagraph"/>
        <w:autoSpaceDE w:val="0"/>
        <w:autoSpaceDN w:val="0"/>
        <w:adjustRightInd w:val="0"/>
        <w:spacing w:after="0" w:line="240" w:lineRule="auto"/>
        <w:jc w:val="both"/>
        <w:rPr>
          <w:rFonts w:ascii="Roboto-Regular" w:hAnsi="Roboto-Regular" w:cs="Roboto-Regular"/>
        </w:rPr>
      </w:pPr>
    </w:p>
    <w:p w14:paraId="625A4E2A" w14:textId="797DAB25" w:rsidR="009B7001" w:rsidRDefault="009B7001"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9B7001">
        <w:rPr>
          <w:rFonts w:ascii="Roboto-Regular" w:hAnsi="Roboto-Regular" w:cs="Roboto-Regular"/>
        </w:rPr>
        <w:t>Kami menyambut baik pekerjaan berkelanjutan oleh FSB dan pembuat standar internasional untuk memastikan bahwa ekosistem aset kripto, termasuk apa yang disebut stablecoin , dipantau secara ketat dan tunduk pada regulasi, pengawasan, dan pengawasan yang kuat untuk memitigasi potensi risiko terhadap stabilitas keuangan. Kami menyambut pendekatan yang diusulkan FSB untuk membangun kerangka kerja internasional yang komprehensif untuk regulasi aktivitas aset kripto berdasarkan prinsip 'aktivitas yang sama, risiko yang sama, regulasi yang sama'. Kami menyambut baik laporan konsultatif FSB tentang tinjauan rekomendasi tingkat tinggi untuk regulasi, pengawasan, dan pengawasan pengaturan “global stablecoin ” . Kami juga menyambut baik laporan konsultasi FSB tentang mempromosikan konsistensi internasional dari pendekatan pengaturan dan pengawasan terhadap aktivitas dan pasar aset kripto. Sangatlah penting untuk membangun kesadaran publik akan risiko, untuk memperkuat hasil peraturan dan untuk mendukung arena permainan yang setara, sembari memanfaatkan manfaat inovasi. Kami menyambut panduan akhir dari BIS CPMI dan IOSCO yang menegaskan bahwa Prinsip Infrastruktur Pasar Keuangan berlaku untuk pengaturan stablecoin yang penting secara sistematis . Kami menyambut laporan konsultasi FSB untuk mencapai konvergensi yang lebih besar dalam pelaporan insiden dunia maya, dan menantikan laporan akhir. Kami menyambut baik hasil tahap kedua Inisiatif Kesenjangan Data (DGI-2) dan akan terus bekerja sama dengan mitra dalam mengatasi tantangan tersisa yang teridentifikasi. Kami menyambut baik rencana kerja Data Gaps Initiative (DGI) baru yang disiapkan oleh IMF, FSB dan Inter-Agency Group on Economic and Financial Statistics (IAG) bekerja sama dengan anggota yang berpartisipasi. Kami meminta IMF, FSB, dan IAG untuk mulai bekerja mengisi kesenjangan data ini dan melaporkan kembali kemajuannya pada paruh kedua tahun 2023, mencatat bahwa targetnya ambisius dan pelaksanaannya perlu mempertimbangkan kapasitas statistik nasional, prioritas, dan keadaan negara serta menghindari tumpang tindih dan duplikasi di tingkat internasional. Kami menyambut baik kemajuan pekerjaan tinjauan Prinsip Tata Kelola Perusahaan G20/OECD, termasuk laporan kedua dan konsultasi publik yang sedang berlangsung, dan menantikan pembaruan lebih lanjut tentang tinjauan tersebut.</w:t>
      </w:r>
    </w:p>
    <w:p w14:paraId="651BAE77" w14:textId="77777777" w:rsidR="00CB5A4A" w:rsidRDefault="00CB5A4A" w:rsidP="00CB5A4A">
      <w:pPr>
        <w:pStyle w:val="ListParagraph"/>
        <w:autoSpaceDE w:val="0"/>
        <w:autoSpaceDN w:val="0"/>
        <w:adjustRightInd w:val="0"/>
        <w:spacing w:after="0" w:line="240" w:lineRule="auto"/>
        <w:jc w:val="both"/>
        <w:rPr>
          <w:rFonts w:ascii="Roboto-Regular" w:hAnsi="Roboto-Regular" w:cs="Roboto-Regular"/>
        </w:rPr>
      </w:pPr>
    </w:p>
    <w:p w14:paraId="7D015E26" w14:textId="7200E72A" w:rsidR="00FF540B" w:rsidRDefault="009B7001"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9B7001">
        <w:rPr>
          <w:rFonts w:ascii="Roboto-Regular" w:hAnsi="Roboto-Regular" w:cs="Roboto-Regular"/>
        </w:rPr>
        <w:t xml:space="preserve">Kami menegaskan kembali bahwa sistem perdagangan multilateral (MTS) yang berbasis aturan, tidak diskriminatif, bebas, adil, terbuka, inklusif, setara, berkelanjutan, dan transparan, dengan WTO sebagai intinya, sangat diperlukan untuk memajukan tujuan bersama kami dalam pertumbuhan inklusif, inovasi, penciptaan lapangan kerja dan pembangunan berkelanjutan di dunia yang terbuka dan saling terhubung serta untuk mendukung ketahanan dan pemulihan ekonomi global yang tertekan akibat COVID-19 dan gangguan rantai pasokan global. Kami setuju bahwa reformasi WTO adalah kunci untuk memperkuat kepercayaan terhadap MTS. Kami akan terus memastikan lapangan permainan yang setara dan persaingan yang adil untuk mendorong lingkungan perdagangan dan investasi yang menguntungkan bagi semua. Kami mencatat pentingnya kontribusi MTS untuk mempromosikan Agenda PBB 2030 dan SDG-nya. Memuji keberhasilan kesimpulan Konferensi Menteri WTO ke-12 (MC12), kami berkomitmen untuk memanfaatkan dan memajukan momentum positif dengan terlibat dalam diskusi yang aktif, konstruktif, pragmatis, dan fokus pada </w:t>
      </w:r>
      <w:r w:rsidRPr="009B7001">
        <w:rPr>
          <w:rFonts w:ascii="Roboto-Regular" w:hAnsi="Roboto-Regular" w:cs="Roboto-Regular"/>
        </w:rPr>
        <w:lastRenderedPageBreak/>
        <w:t>reformasi WTO untuk meningkatkan semua fungsinya, termasuk reformasi penyelesaian perselisihan. mekanisme, di jalur menuju MC13.</w:t>
      </w:r>
    </w:p>
    <w:p w14:paraId="27B13197" w14:textId="77777777" w:rsidR="00CB5A4A" w:rsidRDefault="00CB5A4A" w:rsidP="00CB5A4A">
      <w:pPr>
        <w:pStyle w:val="ListParagraph"/>
        <w:autoSpaceDE w:val="0"/>
        <w:autoSpaceDN w:val="0"/>
        <w:adjustRightInd w:val="0"/>
        <w:spacing w:after="0" w:line="240" w:lineRule="auto"/>
        <w:jc w:val="both"/>
        <w:rPr>
          <w:rFonts w:ascii="Roboto-Regular" w:hAnsi="Roboto-Regular" w:cs="Roboto-Regular"/>
        </w:rPr>
      </w:pPr>
    </w:p>
    <w:p w14:paraId="0F90B8EF" w14:textId="53C84718" w:rsidR="00706A52" w:rsidRDefault="00FF540B"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FF540B">
        <w:rPr>
          <w:rFonts w:ascii="Roboto-Regular" w:hAnsi="Roboto-Regular" w:cs="Roboto-Regular"/>
        </w:rPr>
        <w:t>Kami berkomitmen untuk memperkuat kerja sama perdagangan dan investasi internasional untuk mengatasi masalah rantai pasokan dan menghindari gangguan perdagangan. Kami percaya bahwa kebijakan perdagangan dan iklim/lingkungan harus saling mendukung dan konsisten dengan WTO serta berkontribusi pada tujuan pembangunan berkelanjutan. Kami juga menyadari pentingnya kerja sama internasional yang inklusif dalam perdagangan digital. Kami menyadari perlunya mempromosikan nilai tambah melalui investasi yang berkelanjutan dan inklusif di sektor-sektor yang sangat produktif seperti manufaktur hilir, perdagangan digital, dan jasa, serta untuk mendorong hubungan antara investor asing dan perusahaan lokal khususnya UMKM. Kami mencatat inisiatif dari Kepresidenan Indonesia untuk mengadakan diskusi tentang koherensi kebijakan antara perdagangan, investasi, dan industri, dan untuk terus menangani masalah terkait industri dalam proses G20 yang lebih luas, sebagaimana mestinya.</w:t>
      </w:r>
    </w:p>
    <w:p w14:paraId="009DF283" w14:textId="77777777" w:rsidR="00CB5A4A" w:rsidRPr="00CB5A4A" w:rsidRDefault="00CB5A4A" w:rsidP="00CB5A4A">
      <w:pPr>
        <w:pStyle w:val="ListParagraph"/>
        <w:rPr>
          <w:rFonts w:ascii="Roboto-Regular" w:hAnsi="Roboto-Regular" w:cs="Roboto-Regular"/>
        </w:rPr>
      </w:pPr>
    </w:p>
    <w:p w14:paraId="4C7C48ED" w14:textId="4C14CC03" w:rsidR="00DD17BA" w:rsidRDefault="00FF540B"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706A52">
        <w:rPr>
          <w:rFonts w:ascii="Roboto-Regular" w:hAnsi="Roboto-Regular" w:cs="Roboto-Regular"/>
        </w:rPr>
        <w:t>Kami menyadari pentingnya merevitalisasi investasi infrastruktur dengan cara yang berkelanjutan, inklusif, dapat diakses, dan terjangkau. Kami mendukung Kerangka Kerja G20/GI Hub yang sukarela dan tidak mengikat tentang Cara Terbaik Memanfaatkan Partisipasi Sektor Swasta untuk Meningkatkan Investasi Infrastruktur Berkelanjutan yang akan mempertimbangkan keadaan negara, dan yang akan melengkapi investasi dari sumber lain, termasuk investasi publik dan pembiayaan yang disediakan oleh MDB . Kami mencatat Dokumen Hasil dari Dialog Investor Infrastruktur G20 2022. Untuk meningkatkan inklusi sosial dan mengatasi kesenjangan daerah, kami mendukung Perangkat Kebijakan G20-OECD tentang Memobilisasi Pendanaan dan Pembiayaan untuk Investasi Infrastruktur yang Inklusif dan Berkualitas di Daerah dan Kota, yang disiapkan dengan dukungan Asian Development Bank (ADB). Kami mencatat Laporan Temuan Awal tentang Pendekatan Inklusif Gender dalam Partisipasi Swasta dalam Infrastruktur dalam mempromosikan pertimbangan gender selama siklus hidup infrastruktur dan menantikan laporan akhir. Kami mendukung InfraTracker 2.0 yang akan memungkinkan sektor publik dan swasta menuju investasi infrastruktur transformatif pasca-COVID-19, dengan memberikan wawasan tentang strategi dan rencana infrastruktur jangka panjang. Untuk mempersempit kesenjangan digital, kami mendukung G20 Compendium of Case Studies on Digital Infrastructure Finance: Issues, Practices and Innovations. Kami mendukung Indikator Investasi Infrastruktur Berkualitas (QII) dan catatan panduan terkait, yang dikembangkan untuk G20, yang bersifat sukarela dan tidak mengikat serta mempertimbangkan keadaan negara, dan kami menantikan diskusi lebih lanjut tentang bagaimana indikator QII dapat diterapkan. Kami menyambut baik kemajuan yang dicapai dalam mengembangkan kemungkinan model tata kelola baru untuk Pusat Infrastruktur Global (GI Hub) dan meminta prinsip-prinsip untuk memandu proses diselesaikan sesegera mungkin.</w:t>
      </w:r>
    </w:p>
    <w:p w14:paraId="54E35A3E" w14:textId="77777777" w:rsidR="00CB5A4A" w:rsidRDefault="00CB5A4A" w:rsidP="00CB5A4A">
      <w:pPr>
        <w:pStyle w:val="ListParagraph"/>
        <w:autoSpaceDE w:val="0"/>
        <w:autoSpaceDN w:val="0"/>
        <w:adjustRightInd w:val="0"/>
        <w:spacing w:after="0" w:line="240" w:lineRule="auto"/>
        <w:jc w:val="both"/>
        <w:rPr>
          <w:rFonts w:ascii="Roboto-Regular" w:hAnsi="Roboto-Regular" w:cs="Roboto-Regular"/>
        </w:rPr>
      </w:pPr>
    </w:p>
    <w:p w14:paraId="4F7BAB4E" w14:textId="3109DD7B" w:rsidR="005A3ECA" w:rsidRDefault="00DD17B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D17BA">
        <w:rPr>
          <w:rFonts w:ascii="Roboto-Regular" w:hAnsi="Roboto-Regular" w:cs="Roboto-Regular"/>
        </w:rPr>
        <w:t xml:space="preserve">Munculnya otomatisasi dan teknologi digital membentuk kembali dunia kerja, menghadirkan peluang dan tantangan. Menambah situasi, pandemi COVID-19 telah memperburuk ketidaksetaraan yang sudah ada sebelumnya di banyak negara dan terus memengaruhi perempuan, pemuda, pekerja lanjut usia, penyandang disabilitas, dan pekerja migran secara tidak proporsional. Kami menggarisbawahi bahwa tetap menjadi prioritas utama kami untuk memitigasi dampak negatif dari tren saat ini di pasar tenaga kerja, mengurangi ketidaksetaraan sambil merespons secara efektif </w:t>
      </w:r>
      <w:r w:rsidRPr="00DD17BA">
        <w:rPr>
          <w:rFonts w:ascii="Roboto-Regular" w:hAnsi="Roboto-Regular" w:cs="Roboto-Regular"/>
        </w:rPr>
        <w:lastRenderedPageBreak/>
        <w:t>peluang yang dihadirkan oleh otomasi dan teknologi digital serta mempromosikan kesetaraan gender. Kami tetap berkomitmen pada promosi pekerjaan yang layak dan penghapusan pekerja anak dan kerja paksa.</w:t>
      </w:r>
    </w:p>
    <w:p w14:paraId="4654D082" w14:textId="77777777" w:rsidR="00CB5A4A" w:rsidRPr="00CB5A4A" w:rsidRDefault="00CB5A4A" w:rsidP="00CB5A4A">
      <w:pPr>
        <w:pStyle w:val="ListParagraph"/>
        <w:rPr>
          <w:rFonts w:ascii="Roboto-Regular" w:hAnsi="Roboto-Regular" w:cs="Roboto-Regular"/>
        </w:rPr>
      </w:pPr>
    </w:p>
    <w:p w14:paraId="4C7EAB3F" w14:textId="65E753B4"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Kami menegaskan kembali komitmen kami untuk mendukung inklusi penuh migran, termasuk pekerja migran, pengungsi, dalam upaya pemulihan kami, dalam semangat kerja sama internasional dan sejalan dengan kebijakan, undang-undang, dan keadaan nasional, memastikan penghormatan penuh terhadap hak asasi manusia dan fundamental mereka. kebebasan terlepas dari status migrasi mereka. Kami juga menyadari pentingnya mencegah arus migrasi tidak teratur dan penyelundupan migran, sebagai bagian dari pendekatan menyeluruh untuk migrasi yang aman, tertib dan teratur, sembari menanggapi kebutuhan kemanusiaan dan akar penyebab perpindahan. Kami mendukung penguatan kerjasama antar negara asal, transit, dan tujuan. Kami akan melanjutkan dialog tentang migrasi dan pemindahan paksa dalam Presidensi mendatang.</w:t>
      </w:r>
    </w:p>
    <w:p w14:paraId="1E6C8591" w14:textId="77777777" w:rsidR="00CB5A4A" w:rsidRPr="00CB5A4A" w:rsidRDefault="00CB5A4A" w:rsidP="00CB5A4A">
      <w:pPr>
        <w:pStyle w:val="ListParagraph"/>
        <w:rPr>
          <w:rFonts w:ascii="Roboto-Regular" w:hAnsi="Roboto-Regular" w:cs="Roboto-Regular"/>
        </w:rPr>
      </w:pPr>
    </w:p>
    <w:p w14:paraId="2F39083E" w14:textId="71C08F68"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Kami tetap berkomitmen pada pendekatan yang berpusat pada manusia, inklusif, adil, dan berkelanjutan yang mengarah pada keadilan sosial yang lebih besar, pekerjaan yang layak, dan perlindungan sosial untuk semua. Kami akan melanjutkan pekerjaan kami untuk mengintegrasikan penyandang disabilitas, perempuan, dan kaum muda lintas sektor dan tingkatan dalam mengejar pasar tenaga kerja yang inklusif. Kami bertekad untuk mempromosikan pengembangan kapasitas manusia, pasar tenaga kerja, dan produktivitas yang berkelanjutan, termasuk melalui pendidikan dan pelatihan kejuruan berbasis masyarakat, untuk memajukan penciptaan lapangan kerja melalui kewirausahaan, untuk memberdayakan UMKM, dan untuk mempercepat upaya kami untuk mendorong dan mengadaptasi perlindungan tenaga kerja untuk semua pekerja, termasuk mereka yang bekerja di sektor informal. Kami akan memaksimalkan pendekatan kami terhadap pengembangan keterampilan untuk merespons kebutuhan pasar tenaga kerja secara efektif, dengan melibatkan mitra sosial. Kami akan mempercepat kemajuan menuju Antalya Youth Goal, serta perlindungan sosial universal untuk semua pada tahun 2030.</w:t>
      </w:r>
    </w:p>
    <w:p w14:paraId="5DE33861" w14:textId="77777777" w:rsidR="00CB5A4A" w:rsidRPr="00CB5A4A" w:rsidRDefault="00CB5A4A" w:rsidP="00CB5A4A">
      <w:pPr>
        <w:pStyle w:val="ListParagraph"/>
        <w:rPr>
          <w:rFonts w:ascii="Roboto-Regular" w:hAnsi="Roboto-Regular" w:cs="Roboto-Regular"/>
        </w:rPr>
      </w:pPr>
    </w:p>
    <w:p w14:paraId="3B749DBD" w14:textId="12368000"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Kami sangat prihatin bahwa krisis multidimensi, termasuk pandemi COVID-19, serta kurangnya ruang fiskal dan ketidaksetaraan akses ke keuangan dan teknologi, menimbulkan tantangan signifikan untuk mewujudkan Agenda 2030 untuk Pembangunan Berkelanjutan dan Agenda Aksi Addis Ababa dalam sebuah tepat waktu. Kami akan menunjukkan kepemimpinan dan mengambil tindakan kolektif untuk mengimplementasikan Agenda 2030 untuk Pembangunan Berkelanjutan dan mempercepat pencapaian SDG pada tahun 2030 dan mengatasi tantangan pembangunan dengan menghidupkan kembali multilateralisme dan reformasi yang lebih inklusif yang ditujukan untuk mengimplementasikan Agenda 2030.</w:t>
      </w:r>
    </w:p>
    <w:p w14:paraId="5C590CD1" w14:textId="77777777" w:rsidR="00CB5A4A" w:rsidRPr="00CB5A4A" w:rsidRDefault="00CB5A4A" w:rsidP="00CB5A4A">
      <w:pPr>
        <w:pStyle w:val="ListParagraph"/>
        <w:rPr>
          <w:rFonts w:ascii="Roboto-Regular" w:hAnsi="Roboto-Regular" w:cs="Roboto-Regular"/>
        </w:rPr>
      </w:pPr>
    </w:p>
    <w:p w14:paraId="7F9D6F2C" w14:textId="776B817B"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 xml:space="preserve">Dalam hal ini, kami akan memperkuat pemulihan yang inklusif dan berkelanjutan serta membangun ketahanan di semua negara berkembang, termasuk SIDS di Pasifik dan Karibia serta LDCs, melalui tindakan yang ambisius dan nyata. Kami juga menegaskan kembali dukungan berkelanjutan kami ke Afrika, termasuk melalui G20 Compact with Africa dan G20 Initiative on Supporting Industrialization in Africa dan LDCs. Kami akan fokus pada UMKM, perlindungan sosial adaptif, ekonomi hijau dan ekonomi biru. Kami menyadari perlunya kemitraan untuk mempromosikan kerja sama teknologi yang saling menguntungkan dan berbagi praktik yang baik, serta perlunya investasi infrastruktur yang inklusif dan berkualitas untuk pemulihan dan ketahanan </w:t>
      </w:r>
      <w:r w:rsidRPr="005A3ECA">
        <w:rPr>
          <w:rFonts w:ascii="Roboto-Regular" w:hAnsi="Roboto-Regular" w:cs="Roboto-Regular"/>
        </w:rPr>
        <w:lastRenderedPageBreak/>
        <w:t>yang lebih kuat. Kami menggarisbawahi perlunya mengatasi kesenjangan pembiayaan menuju implementasi Agenda 2030, melalui peningkatan mekanisme pembiayaan inovatif, termasuk keuangan campuran, dengan memperhatikan pentingnya transparansi dan akuntabilitas bersama. Kami mencatat inisiatif seperti Koalisi untuk Infrastruktur Ketahanan Bencana dan Aliansi Keuangan Campuran Global, dan menyambut Platform Global untuk Pengurangan Risiko Bencana. Kami menantikan kesuksesan SDGs Summit di tahun 2023.</w:t>
      </w:r>
    </w:p>
    <w:p w14:paraId="725352C7" w14:textId="77777777" w:rsidR="00CB5A4A" w:rsidRDefault="00CB5A4A" w:rsidP="00CB5A4A">
      <w:pPr>
        <w:pStyle w:val="ListParagraph"/>
        <w:autoSpaceDE w:val="0"/>
        <w:autoSpaceDN w:val="0"/>
        <w:adjustRightInd w:val="0"/>
        <w:spacing w:after="0" w:line="240" w:lineRule="auto"/>
        <w:jc w:val="both"/>
        <w:rPr>
          <w:rFonts w:ascii="Roboto-Regular" w:hAnsi="Roboto-Regular" w:cs="Roboto-Regular"/>
        </w:rPr>
      </w:pPr>
    </w:p>
    <w:p w14:paraId="77686186" w14:textId="6AF3E874"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Akses ke pendidikan adalah hak asasi manusia dan alat penting untuk pemulihan ekonomi yang inklusif dan berkelanjutan. Kami menyambut baik hasil Transforming Education Summit. Kami akan bertindak dalam solidaritas khususnya dengan negara-negara berkembang untuk membangun kembali sistem pendidikan yang lebih tangguh, berkemampuan teknologi, dapat diakses, dan efektif. Kami akan memberdayakan aktor-aktor yang relevan di dalam dan di luar G20 untuk menghilangkan hambatan pendidikan, meningkatkan lingkungan pengajaran dan pembelajaran, dan mendukung transisi di dalam dan di semua tahap pendidikan, dengan penekanan pada perempuan dan anak perempuan. Kami juga menggarisbawahi pentingnya kesejahteraan peserta didik dalam persiapan mereka untuk bekerja dan partisipasi serta kontribusi yang berarti untuk masyarakat yang lebih adil, inklusif, dan berkelanjutan. Kami menegaskan kembali pentingnya Pendidikan untuk Pembangunan Berkelanjutan (ESD) dan komitmen kami terhadap SDG4 untuk memastikan pendidikan dan pelatihan berkualitas yang inklusif dan setara. Kami berkomitmen untuk mempromosikan pembelajaran sepanjang hayat di semua tingkatan di tengah perubahan sifat pekerjaan dan mendorong kemitraan dalam hal ini.</w:t>
      </w:r>
    </w:p>
    <w:p w14:paraId="72E62B73" w14:textId="77777777" w:rsidR="00CB5A4A" w:rsidRPr="00CB5A4A" w:rsidRDefault="00CB5A4A" w:rsidP="00CB5A4A">
      <w:pPr>
        <w:pStyle w:val="ListParagraph"/>
        <w:rPr>
          <w:rFonts w:ascii="Roboto-Regular" w:hAnsi="Roboto-Regular" w:cs="Roboto-Regular"/>
        </w:rPr>
      </w:pPr>
    </w:p>
    <w:p w14:paraId="12C5ABB7" w14:textId="0514E0D6"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Kami menyadari pentingnya riset dan inovasi dalam pemanfaatan sumber daya berkelanjutan di berbagai sektor, terutama di tengah krisis kesehatan, iklim, pangan, dan energi. Kami menyambut baik kerjasama penelitian dan inovasi untuk konservasi keanekaragaman hayati dan pemanfaatannya untuk mendukung pembangunan berkelanjutan termasuk ekonomi hijau dan biru. Kami juga mempromosikan kolaborasi inklusif untuk penelitian dan inovasi lebih lanjut, serta mempromosikan mobilitas internasional para peneliti.</w:t>
      </w:r>
    </w:p>
    <w:p w14:paraId="255809A7" w14:textId="77777777" w:rsidR="00CB5A4A" w:rsidRPr="00CB5A4A" w:rsidRDefault="00CB5A4A" w:rsidP="00CB5A4A">
      <w:pPr>
        <w:pStyle w:val="ListParagraph"/>
        <w:rPr>
          <w:rFonts w:ascii="Roboto-Regular" w:hAnsi="Roboto-Regular" w:cs="Roboto-Regular"/>
        </w:rPr>
      </w:pPr>
    </w:p>
    <w:p w14:paraId="12975B74" w14:textId="707069FB"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 xml:space="preserve">Karena perempuan dan anak perempuan terus terkena dampak pandemi COVID-19 dan krisis lainnya secara tidak proporsional, kami menegaskan kembali komitmen kami untuk menempatkan kesetaraan gender dan pemberdayaan perempuan sebagai inti dari upaya kami untuk pemulihan inklusif dan pembangunan berkelanjutan. Kami berkomitmen untuk menerapkan Peta Jalan G20 Menuju dan Melampaui Tujuan Brisbane mendorong inklusi keuangan dan akses ke teknologi digital, termasuk untuk mengatasi distribusi yang tidak merata dalam perawatan berbayar dan tidak berbayar serta pekerjaan rumah tangga, dengan fokus untuk menutup kesenjangan upah gender. Kami berkomitmen untuk penghapusan kekerasan berbasis gender, peningkatan layanan sosial, kesehatan, perawatan dan pendidikan, dan mengatasi stereotip gender. Kami akan terus memajukan akses setara perempuan dan anak perempuan ke pendidikan inklusif dan berkualitas, termasuk partisipasi dalam pendidikan STEM, kewirausahaan perempuan melalui UMKM, dan akses perempuan dan anak perempuan dalam posisi kepemimpinan. Kami akan meningkatkan kualitas hidup perempuan di pedesaan dan perempuan penyandang disabilitas. Kami menyambut baik pekerjaan yang telah dilakukan oleh Aliansi Pemberdayaan dan </w:t>
      </w:r>
      <w:r w:rsidRPr="005A3ECA">
        <w:rPr>
          <w:rFonts w:ascii="Roboto-Regular" w:hAnsi="Roboto-Regular" w:cs="Roboto-Regular"/>
        </w:rPr>
        <w:lastRenderedPageBreak/>
        <w:t>keterlibatannya dengan G20, dan mendukung penyelenggaraan Konferensi Tingkat Menteri G20 tentang Pemberdayaan Perempuan di masa mendatang.</w:t>
      </w:r>
    </w:p>
    <w:p w14:paraId="239EA8C3" w14:textId="77777777" w:rsidR="00CB5A4A" w:rsidRDefault="00CB5A4A" w:rsidP="00CB5A4A">
      <w:pPr>
        <w:pStyle w:val="ListParagraph"/>
        <w:autoSpaceDE w:val="0"/>
        <w:autoSpaceDN w:val="0"/>
        <w:adjustRightInd w:val="0"/>
        <w:spacing w:after="0" w:line="240" w:lineRule="auto"/>
        <w:jc w:val="both"/>
        <w:rPr>
          <w:rFonts w:ascii="Roboto-Regular" w:hAnsi="Roboto-Regular" w:cs="Roboto-Regular"/>
        </w:rPr>
      </w:pPr>
    </w:p>
    <w:p w14:paraId="5AD61B13" w14:textId="3F3C69BC"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 xml:space="preserve">Kami menegaskan kembali peran penting pariwisata untuk pemulihan global, dan pendekatan berbasis masyarakat untuk membangun kembali sektor pariwisata yang lebih berpusat pada manusia, inklusif, berkelanjutan, dan tangguh. Kami mengakui pentingnya memperkuat mobilitas dan konektivitas internasional yang aman dan perjalanan yang mulus pasca - Covid </w:t>
      </w:r>
      <w:r w:rsidR="001B1AE0">
        <w:rPr>
          <w:rFonts w:ascii="Roboto-Regular" w:hAnsi="Roboto-Regular" w:cs="Roboto-Regular"/>
        </w:rPr>
        <w:t xml:space="preserve">untuk memungkinkan pemulihan pariwisata. Kami lebih jauh menyadari bahwa ekonomi kreatif, yang melibatkan </w:t>
      </w:r>
      <w:r w:rsidRPr="005A3ECA">
        <w:rPr>
          <w:rFonts w:ascii="Roboto-Regular" w:hAnsi="Roboto-Regular" w:cs="Roboto-Regular"/>
        </w:rPr>
        <w:t>ekonomi berbasis pengetahuan, kreativitas manusia, dan hak kekayaan intelektual, berkontribusi untuk meningkatkan ketahanan komunitas lokal pariwisata dan UMKM melalui pengembangan sumber daya manusia, transformasi digital, inovasi, kemitraan publik-swasta, pelestarian berkelanjutan warisan alam dan budaya, dan pembiayaan inovatif dengan tetap mempertahankan nilai komersial dan budaya yang signifikan.</w:t>
      </w:r>
    </w:p>
    <w:p w14:paraId="601E2C53" w14:textId="77777777" w:rsidR="00CB5A4A" w:rsidRPr="00CB5A4A" w:rsidRDefault="00CB5A4A" w:rsidP="00CB5A4A">
      <w:pPr>
        <w:pStyle w:val="ListParagraph"/>
        <w:rPr>
          <w:rFonts w:ascii="Roboto-Regular" w:hAnsi="Roboto-Regular" w:cs="Roboto-Regular"/>
        </w:rPr>
      </w:pPr>
    </w:p>
    <w:p w14:paraId="359E745F" w14:textId="29D4E091"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 xml:space="preserve">Kami menegaskan kembali peran budaya sebagai pendorong dan pendorong pembangunan berkelanjutan dengan nilai intrinsik di luar manfaat sosial dan ekonominya. Kami berkomitmen untuk mengembangkan kebijakan yang memanfaatkan keanekaragaman budaya sebagai sumber daya untuk kehidupan yang berkelanjutan dan mempromosikan ekosistem yang inklusif dan adil di semua tingkatan yang menghargai kontribusi mereka yang bekerja di sektor budaya, seni, dan warisan. Kami akan menghormati, melindungi, dan melestarikan warisan budaya masyarakat kami, termasuk komunitas lokal dan masyarakat adat, sebagaimana berlaku </w:t>
      </w:r>
      <w:r w:rsidRPr="005A3ECA">
        <w:rPr>
          <w:rFonts w:ascii="Roboto-Bold" w:hAnsi="Roboto-Bold" w:cs="Roboto-Bold"/>
          <w:b/>
          <w:bCs/>
        </w:rPr>
        <w:t xml:space="preserve">. </w:t>
      </w:r>
      <w:r w:rsidRPr="005A3ECA">
        <w:rPr>
          <w:rFonts w:ascii="Roboto-Regular" w:hAnsi="Roboto-Regular" w:cs="Roboto-Regular"/>
        </w:rPr>
        <w:t>Kami mendukung insentif publik dan investasi berkelanjutan dari sektor swasta untuk memperkuat ekonomi budaya. Kami akan melindungi warisan budaya serta memerangi perdagangan gelap kekayaan budaya dan mempromosikan restitusi kepada pemilik/negara asalnya yang sah, sesuai dengan Konvensi UNESCO yang relevan dan undang-undang nasional.</w:t>
      </w:r>
    </w:p>
    <w:p w14:paraId="386EB1AC" w14:textId="77777777" w:rsidR="00CB5A4A" w:rsidRPr="00CB5A4A" w:rsidRDefault="00CB5A4A" w:rsidP="00CB5A4A">
      <w:pPr>
        <w:pStyle w:val="ListParagraph"/>
        <w:rPr>
          <w:rFonts w:ascii="Roboto-Regular" w:hAnsi="Roboto-Regular" w:cs="Roboto-Regular"/>
        </w:rPr>
      </w:pPr>
    </w:p>
    <w:p w14:paraId="35D915AD" w14:textId="7E431F5E"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 xml:space="preserve">Kami akan terus memimpin dengan memberi contoh melalui penguatan dan pelaksanaan kewajiban dan komitmen kami terhadap upaya antikorupsi termasuk melalui instrumen yang mengikat secara hukum, sambil memperbarui komitmen kami untuk tidak menoleransi korupsi. Kami menekankan pentingnya transparansi dan akuntabilitas bagi sektor publik dan swasta sebagai bagian penting dari upaya pemulihan bersama. Kami menggarisbawahi peran penting audit serta partisipasi publik dan pendidikan antikorupsi dalam mencegah dan menanggulangi segala bentuk korupsi. Kami mengingat kembali komitmen kami dan menyerukan kepada semua negara untuk mengkriminalkan penyuapan, termasuk penyuapan pejabat publik asing, dan secara efektif mencegah, memerangi, mendeteksi, menyelidiki, menuntut, dan memberi sanksi penyuapan. Kami selanjutnya akan bekerja untuk memperkuat kerja sama internasional dan kerangka hukum untuk memerangi kejahatan ekonomi termasuk korupsi yang terkait dengan kejahatan terorganisir dan pencucian uang, termasuk, secara sukarela, melalui jaringan dan inisiatif yang ada seperti GlobE dan G20 Denial of Entry Experts Network. Kami akan membagikan informasi tentang tindakan kami terhadap kriminalisasi suap asing dan menegakkan undang-undang suap asing sesuai dengan Pasal 16 UNCAC, dan berharap dapat memperluas partisipasi dalam Konvensi Antisuap OECD, sebagaimana mestinya. Kami menegaskan kembali komitmen kami untuk menolak perlindungan yang aman bagi pelaku korupsi dan aset mereka, sesuai dengan hukum domestik. Kami juga menyadari pentingnya memitigasi risiko korupsi di semua sektor. Kami akan semakin memperkuat keterlibatan kami dengan dan mendorong partisipasi aktif para </w:t>
      </w:r>
      <w:r w:rsidRPr="005A3ECA">
        <w:rPr>
          <w:rFonts w:ascii="Roboto-Regular" w:hAnsi="Roboto-Regular" w:cs="Roboto-Regular"/>
        </w:rPr>
        <w:lastRenderedPageBreak/>
        <w:t>pemangku kepentingan seperti akademisi, masyarakat sipil, media dan sektor swasta, termasuk untuk memajukan budaya integritas.</w:t>
      </w:r>
    </w:p>
    <w:p w14:paraId="70175D3F" w14:textId="77777777" w:rsidR="00CB5A4A" w:rsidRDefault="00CB5A4A" w:rsidP="00CB5A4A">
      <w:pPr>
        <w:pStyle w:val="ListParagraph"/>
        <w:autoSpaceDE w:val="0"/>
        <w:autoSpaceDN w:val="0"/>
        <w:adjustRightInd w:val="0"/>
        <w:spacing w:after="0" w:line="240" w:lineRule="auto"/>
        <w:jc w:val="both"/>
        <w:rPr>
          <w:rFonts w:ascii="Roboto-Regular" w:hAnsi="Roboto-Regular" w:cs="Roboto-Regular"/>
        </w:rPr>
      </w:pPr>
    </w:p>
    <w:p w14:paraId="142EAED5" w14:textId="4B611CB7"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Kami menyadari perlunya komunitas internasional untuk meningkatkan upaya mereka untuk memerangi pencucian uang, pendanaan terorisme, dan pendanaan proliferasi secara efektif. Kami menegaskan kembali komitmen kami untuk memberikan prioritas strategis dari Financial Action Task Force (FATF) dan FATF Style Regional Bodies (FSRBs) untuk memimpin tindakan global untuk menanggapi ancaman ini. Kami menyambut inisiatif FATF untuk mempromosikan implementasi standar internasional pada aset virtual, khususnya "aturan perjalanan", dan transparansi kepemilikan manfaat, dan mengakui peran mereka dalam perang melawan korupsi sistemik dan kejahatan lingkungan, yang berdampak serius pada ekonomi dan masyarakat. Kami mendukung pekerjaan FATF yang sedang berlangsung untuk meningkatkan upaya global untuk menyita hasil kejahatan dan mengembalikan dana kepada para korban dan negara sejalan dengan kerangka kerja domestik. Kami mendorong semua anggota G20 untuk memperkuat kolaborasi untuk mengadopsi dan menerapkan standar FATF secara efektif.</w:t>
      </w:r>
    </w:p>
    <w:p w14:paraId="3B67DEAA" w14:textId="77777777" w:rsidR="00CB5A4A" w:rsidRPr="00CB5A4A" w:rsidRDefault="00CB5A4A" w:rsidP="00CB5A4A">
      <w:pPr>
        <w:pStyle w:val="ListParagraph"/>
        <w:rPr>
          <w:rFonts w:ascii="Roboto-Regular" w:hAnsi="Roboto-Regular" w:cs="Roboto-Regular"/>
        </w:rPr>
      </w:pPr>
    </w:p>
    <w:p w14:paraId="2F2D2977" w14:textId="57028110"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Kami menyambut baik upaya Kepresidenan Indonesia untuk menyusun beragam pengajuan nasional dan kolaborasi terkoordinasi internasional dari anggota G20, negara undangan, serta organisasi regional dan internasional. Ini telah disajikan dalam “G20 Action for Strong and Inclusive Recovery”, sebagaimana dilampirkan. Kami menyerukan tindakan nyata lebih lanjut untuk memberikan momentum dan dampak yang lebih besar pada upaya komunitas internasional untuk pulih bersama dan pulih lebih kuat.</w:t>
      </w:r>
    </w:p>
    <w:p w14:paraId="1D8B7557" w14:textId="77777777" w:rsidR="00CB5A4A" w:rsidRPr="00CB5A4A" w:rsidRDefault="00CB5A4A" w:rsidP="00CB5A4A">
      <w:pPr>
        <w:pStyle w:val="ListParagraph"/>
        <w:rPr>
          <w:rFonts w:ascii="Roboto-Regular" w:hAnsi="Roboto-Regular" w:cs="Roboto-Regular"/>
        </w:rPr>
      </w:pPr>
    </w:p>
    <w:p w14:paraId="759D0F3B" w14:textId="729C8A2D"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Kami menyambut baik hasil dari berbagai kelompok kerja G20 dan pertemuan Tingkat Menteri. Kami menghargai dan berterima kasih kepada Indonesia atas kepresidenannya dan telah berhasil menjadi tuan rumah KTT Pemimpin G20 Bali dan atas kontribusinya pada proses G20. Kami berharap dapat bertemu lagi di India pada tahun 2023, di Brasil pada tahun 2024, dan di Afrika Selatan pada tahun 2025.</w:t>
      </w:r>
    </w:p>
    <w:p w14:paraId="7A6DD947" w14:textId="765E59B8" w:rsidR="005A3ECA" w:rsidRDefault="005A3ECA" w:rsidP="006912F2">
      <w:pPr>
        <w:autoSpaceDE w:val="0"/>
        <w:autoSpaceDN w:val="0"/>
        <w:adjustRightInd w:val="0"/>
        <w:spacing w:after="0" w:line="240" w:lineRule="auto"/>
        <w:jc w:val="both"/>
        <w:rPr>
          <w:rFonts w:ascii="Roboto-Regular" w:hAnsi="Roboto-Regular" w:cs="Roboto-Regular"/>
        </w:rPr>
      </w:pPr>
    </w:p>
    <w:p w14:paraId="1CA4DC96" w14:textId="4E092E5D" w:rsidR="005A3ECA" w:rsidRDefault="005A3ECA" w:rsidP="006912F2">
      <w:pPr>
        <w:autoSpaceDE w:val="0"/>
        <w:autoSpaceDN w:val="0"/>
        <w:adjustRightInd w:val="0"/>
        <w:spacing w:after="0" w:line="240" w:lineRule="auto"/>
        <w:jc w:val="both"/>
        <w:rPr>
          <w:rFonts w:ascii="Roboto-Regular" w:hAnsi="Roboto-Regular" w:cs="Roboto-Regular"/>
        </w:rPr>
      </w:pPr>
      <w:r>
        <w:rPr>
          <w:rFonts w:ascii="Roboto-Regular" w:hAnsi="Roboto-Regular" w:cs="Roboto-Regular"/>
        </w:rPr>
        <w:t>Kami berterima kasih kepada organisasi internasional, termasuk PBB dan Badan Khususnya, Grup Bank Dunia, IMF, OECD, Bank Pembangunan Asia, ERIA, CEPI, Bank Investasi Eropa, GGGI, ICAO, IEA, IEF, IFAD, ILO, IRENA, FAO, FSB , Gavi, Global Fund, IAEA, Islamic Development Bank, ITU, Medicine Patent Pool, Sustainable Energy for All ( SEforAll ), OPEC, WEF, WFP, WHO, WTO, UNCCD, UNCTAD, UNDESA, UNDP, UNECE, UNESCAP, UNESCO, UNFCCC, UN Global Pulse, UN Habitat, UNICEF, UNIDO, UNOPS, UN Women, UNWTO dan G20 Engagement Groups (W20, L20, T20, S20, Y20, SAI20, P20, C20, B20, U20) atas masukan dan rekomendasi kebijakan.</w:t>
      </w:r>
    </w:p>
    <w:p w14:paraId="51448F49" w14:textId="4E39B3C4" w:rsidR="005A3ECA" w:rsidRDefault="005A3ECA" w:rsidP="006912F2">
      <w:pPr>
        <w:autoSpaceDE w:val="0"/>
        <w:autoSpaceDN w:val="0"/>
        <w:adjustRightInd w:val="0"/>
        <w:spacing w:after="0" w:line="240" w:lineRule="auto"/>
        <w:jc w:val="both"/>
        <w:rPr>
          <w:rFonts w:ascii="Roboto-Regular" w:hAnsi="Roboto-Regular" w:cs="Roboto-Regular"/>
        </w:rPr>
      </w:pPr>
    </w:p>
    <w:p w14:paraId="16B254A6" w14:textId="0ADA6B30" w:rsidR="005A3ECA" w:rsidRDefault="005A3ECA" w:rsidP="006912F2">
      <w:pPr>
        <w:autoSpaceDE w:val="0"/>
        <w:autoSpaceDN w:val="0"/>
        <w:adjustRightInd w:val="0"/>
        <w:spacing w:after="0" w:line="240" w:lineRule="auto"/>
        <w:jc w:val="both"/>
        <w:rPr>
          <w:rFonts w:ascii="Roboto-Regular" w:hAnsi="Roboto-Regular" w:cs="Roboto-Regular"/>
        </w:rPr>
      </w:pPr>
    </w:p>
    <w:p w14:paraId="784ED1FF" w14:textId="02DB215F" w:rsidR="00CB5A4A" w:rsidRDefault="00CB5A4A" w:rsidP="006912F2">
      <w:pPr>
        <w:autoSpaceDE w:val="0"/>
        <w:autoSpaceDN w:val="0"/>
        <w:adjustRightInd w:val="0"/>
        <w:spacing w:after="0" w:line="240" w:lineRule="auto"/>
        <w:jc w:val="both"/>
        <w:rPr>
          <w:rFonts w:ascii="Roboto-Regular" w:hAnsi="Roboto-Regular" w:cs="Roboto-Regular"/>
        </w:rPr>
      </w:pPr>
    </w:p>
    <w:p w14:paraId="2B9BE532" w14:textId="16B48509" w:rsidR="00CB5A4A" w:rsidRDefault="00CB5A4A" w:rsidP="006912F2">
      <w:pPr>
        <w:autoSpaceDE w:val="0"/>
        <w:autoSpaceDN w:val="0"/>
        <w:adjustRightInd w:val="0"/>
        <w:spacing w:after="0" w:line="240" w:lineRule="auto"/>
        <w:jc w:val="both"/>
        <w:rPr>
          <w:rFonts w:ascii="Roboto-Regular" w:hAnsi="Roboto-Regular" w:cs="Roboto-Regular"/>
        </w:rPr>
      </w:pPr>
    </w:p>
    <w:p w14:paraId="26607AE5" w14:textId="5E5767C0" w:rsidR="00CB5A4A" w:rsidRDefault="00CB5A4A" w:rsidP="006912F2">
      <w:pPr>
        <w:autoSpaceDE w:val="0"/>
        <w:autoSpaceDN w:val="0"/>
        <w:adjustRightInd w:val="0"/>
        <w:spacing w:after="0" w:line="240" w:lineRule="auto"/>
        <w:jc w:val="both"/>
        <w:rPr>
          <w:rFonts w:ascii="Roboto-Regular" w:hAnsi="Roboto-Regular" w:cs="Roboto-Regular"/>
        </w:rPr>
      </w:pPr>
    </w:p>
    <w:p w14:paraId="5A34124E" w14:textId="1AAF2736" w:rsidR="00CB5A4A" w:rsidRDefault="00CB5A4A" w:rsidP="006912F2">
      <w:pPr>
        <w:autoSpaceDE w:val="0"/>
        <w:autoSpaceDN w:val="0"/>
        <w:adjustRightInd w:val="0"/>
        <w:spacing w:after="0" w:line="240" w:lineRule="auto"/>
        <w:jc w:val="both"/>
        <w:rPr>
          <w:rFonts w:ascii="Roboto-Regular" w:hAnsi="Roboto-Regular" w:cs="Roboto-Regular"/>
        </w:rPr>
      </w:pPr>
    </w:p>
    <w:p w14:paraId="4C7FF32C" w14:textId="63A0AD6F" w:rsidR="00CB5A4A" w:rsidRDefault="00CB5A4A" w:rsidP="006912F2">
      <w:pPr>
        <w:autoSpaceDE w:val="0"/>
        <w:autoSpaceDN w:val="0"/>
        <w:adjustRightInd w:val="0"/>
        <w:spacing w:after="0" w:line="240" w:lineRule="auto"/>
        <w:jc w:val="both"/>
        <w:rPr>
          <w:rFonts w:ascii="Roboto-Regular" w:hAnsi="Roboto-Regular" w:cs="Roboto-Regular"/>
        </w:rPr>
      </w:pPr>
    </w:p>
    <w:p w14:paraId="262A5BFC" w14:textId="42179229" w:rsidR="00CB5A4A" w:rsidRDefault="00CB5A4A" w:rsidP="006912F2">
      <w:pPr>
        <w:autoSpaceDE w:val="0"/>
        <w:autoSpaceDN w:val="0"/>
        <w:adjustRightInd w:val="0"/>
        <w:spacing w:after="0" w:line="240" w:lineRule="auto"/>
        <w:jc w:val="both"/>
        <w:rPr>
          <w:rFonts w:ascii="Roboto-Regular" w:hAnsi="Roboto-Regular" w:cs="Roboto-Regular"/>
        </w:rPr>
      </w:pPr>
    </w:p>
    <w:p w14:paraId="1D4F10E7" w14:textId="7D4837DE" w:rsidR="00CB5A4A" w:rsidRDefault="00CB5A4A" w:rsidP="006912F2">
      <w:pPr>
        <w:autoSpaceDE w:val="0"/>
        <w:autoSpaceDN w:val="0"/>
        <w:adjustRightInd w:val="0"/>
        <w:spacing w:after="0" w:line="240" w:lineRule="auto"/>
        <w:jc w:val="both"/>
        <w:rPr>
          <w:rFonts w:ascii="Roboto-Regular" w:hAnsi="Roboto-Regular" w:cs="Roboto-Regular"/>
        </w:rPr>
      </w:pPr>
    </w:p>
    <w:p w14:paraId="56944A90" w14:textId="11FD6D87" w:rsidR="00CB5A4A" w:rsidRDefault="00CB5A4A" w:rsidP="006912F2">
      <w:pPr>
        <w:autoSpaceDE w:val="0"/>
        <w:autoSpaceDN w:val="0"/>
        <w:adjustRightInd w:val="0"/>
        <w:spacing w:after="0" w:line="240" w:lineRule="auto"/>
        <w:jc w:val="both"/>
        <w:rPr>
          <w:rFonts w:ascii="Roboto-Regular" w:hAnsi="Roboto-Regular" w:cs="Roboto-Regular"/>
        </w:rPr>
      </w:pPr>
    </w:p>
    <w:p w14:paraId="425F8725" w14:textId="65D06BA2" w:rsidR="00CB5A4A" w:rsidRDefault="00CB5A4A" w:rsidP="006912F2">
      <w:pPr>
        <w:autoSpaceDE w:val="0"/>
        <w:autoSpaceDN w:val="0"/>
        <w:adjustRightInd w:val="0"/>
        <w:spacing w:after="0" w:line="240" w:lineRule="auto"/>
        <w:jc w:val="both"/>
        <w:rPr>
          <w:rFonts w:ascii="Roboto-Regular" w:hAnsi="Roboto-Regular" w:cs="Roboto-Regular"/>
        </w:rPr>
      </w:pPr>
    </w:p>
    <w:p w14:paraId="07BE13DA" w14:textId="220C3830" w:rsidR="00CB5A4A" w:rsidRDefault="00CB5A4A" w:rsidP="006912F2">
      <w:pPr>
        <w:autoSpaceDE w:val="0"/>
        <w:autoSpaceDN w:val="0"/>
        <w:adjustRightInd w:val="0"/>
        <w:spacing w:after="0" w:line="240" w:lineRule="auto"/>
        <w:jc w:val="both"/>
        <w:rPr>
          <w:rFonts w:ascii="Roboto-Regular" w:hAnsi="Roboto-Regular" w:cs="Roboto-Regular"/>
        </w:rPr>
      </w:pPr>
    </w:p>
    <w:p w14:paraId="22A9952A" w14:textId="5EEA8A22" w:rsidR="005A3ECA" w:rsidRPr="00CB5A4A" w:rsidRDefault="005A3ECA" w:rsidP="006912F2">
      <w:pPr>
        <w:autoSpaceDE w:val="0"/>
        <w:autoSpaceDN w:val="0"/>
        <w:adjustRightInd w:val="0"/>
        <w:spacing w:after="0" w:line="240" w:lineRule="auto"/>
        <w:jc w:val="both"/>
        <w:rPr>
          <w:rFonts w:ascii="Roboto-Bold" w:hAnsi="Roboto-Bold" w:cs="Roboto-Bold"/>
          <w:b/>
          <w:bCs/>
          <w:color w:val="1F497D"/>
          <w:u w:val="single"/>
        </w:rPr>
      </w:pPr>
      <w:bookmarkStart w:id="0" w:name="_GoBack"/>
      <w:bookmarkEnd w:id="0"/>
      <w:r w:rsidRPr="00CB5A4A">
        <w:rPr>
          <w:rFonts w:ascii="Roboto-Bold" w:hAnsi="Roboto-Bold" w:cs="Roboto-Bold"/>
          <w:b/>
          <w:bCs/>
          <w:color w:val="1F497D"/>
          <w:u w:val="single"/>
        </w:rPr>
        <w:t>Lampiran</w:t>
      </w:r>
    </w:p>
    <w:p w14:paraId="66C2189C" w14:textId="77777777" w:rsidR="00CB5A4A" w:rsidRDefault="00CB5A4A" w:rsidP="006912F2">
      <w:pPr>
        <w:autoSpaceDE w:val="0"/>
        <w:autoSpaceDN w:val="0"/>
        <w:adjustRightInd w:val="0"/>
        <w:spacing w:after="0" w:line="240" w:lineRule="auto"/>
        <w:jc w:val="both"/>
        <w:rPr>
          <w:rFonts w:ascii="Roboto-Bold" w:hAnsi="Roboto-Bold" w:cs="Roboto-Bold"/>
          <w:b/>
          <w:bCs/>
          <w:color w:val="1F497D"/>
        </w:rPr>
      </w:pPr>
    </w:p>
    <w:p w14:paraId="0D465F28" w14:textId="00848877" w:rsidR="005A3ECA" w:rsidRPr="005A3ECA" w:rsidRDefault="005A3ECA" w:rsidP="00CB5A4A">
      <w:pPr>
        <w:pStyle w:val="ListParagraph"/>
        <w:numPr>
          <w:ilvl w:val="0"/>
          <w:numId w:val="6"/>
        </w:numPr>
        <w:autoSpaceDE w:val="0"/>
        <w:autoSpaceDN w:val="0"/>
        <w:adjustRightInd w:val="0"/>
        <w:spacing w:after="0" w:line="240" w:lineRule="auto"/>
        <w:ind w:left="284" w:hanging="284"/>
        <w:jc w:val="both"/>
        <w:rPr>
          <w:rFonts w:ascii="Roboto-Bold" w:hAnsi="Roboto-Bold" w:cs="Roboto-Bold"/>
          <w:b/>
          <w:bCs/>
          <w:color w:val="000000"/>
        </w:rPr>
      </w:pPr>
      <w:r w:rsidRPr="005A3ECA">
        <w:rPr>
          <w:rFonts w:ascii="Roboto-Bold" w:hAnsi="Roboto-Bold" w:cs="Roboto-Bold"/>
          <w:b/>
          <w:bCs/>
          <w:color w:val="000000"/>
        </w:rPr>
        <w:t>Pertemuan Menteri dan Dokumen Hasil Kelompok Kerja</w:t>
      </w:r>
    </w:p>
    <w:p w14:paraId="1021738E" w14:textId="77777777" w:rsidR="00EA11A6" w:rsidRDefault="005A3ECA" w:rsidP="00CB5A4A">
      <w:pPr>
        <w:pStyle w:val="ListParagraph"/>
        <w:numPr>
          <w:ilvl w:val="3"/>
          <w:numId w:val="6"/>
        </w:numPr>
        <w:autoSpaceDE w:val="0"/>
        <w:autoSpaceDN w:val="0"/>
        <w:adjustRightInd w:val="0"/>
        <w:spacing w:after="0" w:line="240" w:lineRule="auto"/>
        <w:ind w:left="567" w:hanging="283"/>
        <w:jc w:val="both"/>
        <w:rPr>
          <w:rFonts w:ascii="Roboto-Regular" w:hAnsi="Roboto-Regular" w:cs="Roboto-Regular"/>
        </w:rPr>
      </w:pPr>
      <w:r w:rsidRPr="00EA11A6">
        <w:rPr>
          <w:rFonts w:ascii="Roboto-Regular" w:hAnsi="Roboto-Regular" w:cs="Roboto-Regular"/>
        </w:rPr>
        <w:t>Communique 1st G20 Finance Ministers and Central Bank Governors Meeting (Jakarta, 17-18 Februari 2022)</w:t>
      </w:r>
    </w:p>
    <w:p w14:paraId="37CBE784" w14:textId="77777777" w:rsidR="00EA11A6" w:rsidRDefault="005A3ECA" w:rsidP="00CB5A4A">
      <w:pPr>
        <w:pStyle w:val="ListParagraph"/>
        <w:numPr>
          <w:ilvl w:val="3"/>
          <w:numId w:val="6"/>
        </w:numPr>
        <w:autoSpaceDE w:val="0"/>
        <w:autoSpaceDN w:val="0"/>
        <w:adjustRightInd w:val="0"/>
        <w:spacing w:after="0" w:line="240" w:lineRule="auto"/>
        <w:ind w:left="567" w:hanging="283"/>
        <w:jc w:val="both"/>
        <w:rPr>
          <w:rFonts w:ascii="Roboto-Regular" w:hAnsi="Roboto-Regular" w:cs="Roboto-Regular"/>
        </w:rPr>
      </w:pPr>
      <w:r w:rsidRPr="00EA11A6">
        <w:rPr>
          <w:rFonts w:ascii="Roboto-Regular" w:hAnsi="Roboto-Regular" w:cs="Roboto-Regular"/>
        </w:rPr>
        <w:t>Ringkasan Ketua Pertemuan Menteri Keuangan dan Gubernur Bank Sentral G20 (Washington DC, 20 April 2022)</w:t>
      </w:r>
    </w:p>
    <w:p w14:paraId="70948211" w14:textId="77777777" w:rsidR="00EA11A6" w:rsidRDefault="005A3ECA" w:rsidP="00CB5A4A">
      <w:pPr>
        <w:pStyle w:val="ListParagraph"/>
        <w:numPr>
          <w:ilvl w:val="3"/>
          <w:numId w:val="6"/>
        </w:numPr>
        <w:autoSpaceDE w:val="0"/>
        <w:autoSpaceDN w:val="0"/>
        <w:adjustRightInd w:val="0"/>
        <w:spacing w:after="0" w:line="240" w:lineRule="auto"/>
        <w:ind w:left="567" w:hanging="283"/>
        <w:jc w:val="both"/>
        <w:rPr>
          <w:rFonts w:ascii="Roboto-Regular" w:hAnsi="Roboto-Regular" w:cs="Roboto-Regular"/>
        </w:rPr>
      </w:pPr>
      <w:r w:rsidRPr="00EA11A6">
        <w:rPr>
          <w:rFonts w:ascii="Roboto-Regular" w:hAnsi="Roboto-Regular" w:cs="Roboto-Regular"/>
        </w:rPr>
        <w:t>Chair Summary Note Meeting G20 Agricultural Chief Scientist (MACS-G20) (Bali, 5-7 Juli 2022)</w:t>
      </w:r>
    </w:p>
    <w:p w14:paraId="5FCC2664" w14:textId="77777777" w:rsidR="00EA11A6" w:rsidRDefault="005A3ECA" w:rsidP="00CB5A4A">
      <w:pPr>
        <w:pStyle w:val="ListParagraph"/>
        <w:numPr>
          <w:ilvl w:val="3"/>
          <w:numId w:val="6"/>
        </w:numPr>
        <w:autoSpaceDE w:val="0"/>
        <w:autoSpaceDN w:val="0"/>
        <w:adjustRightInd w:val="0"/>
        <w:spacing w:after="0" w:line="240" w:lineRule="auto"/>
        <w:ind w:left="567" w:hanging="283"/>
        <w:jc w:val="both"/>
        <w:rPr>
          <w:rFonts w:ascii="Roboto-Regular" w:hAnsi="Roboto-Regular" w:cs="Roboto-Regular"/>
        </w:rPr>
      </w:pPr>
      <w:r w:rsidRPr="00EA11A6">
        <w:rPr>
          <w:rFonts w:ascii="Roboto-Regular" w:hAnsi="Roboto-Regular" w:cs="Roboto-Regular"/>
        </w:rPr>
        <w:t>Ringkasan Ketua G20 Pertemuan Menteri Keuangan dan Gubernur Bank Sentral G20 Ketiga (Bali, 15-16 Juli 2022)</w:t>
      </w:r>
    </w:p>
    <w:p w14:paraId="1F103FB6" w14:textId="77777777" w:rsidR="00EA11A6" w:rsidRDefault="005A3ECA" w:rsidP="00CB5A4A">
      <w:pPr>
        <w:pStyle w:val="ListParagraph"/>
        <w:numPr>
          <w:ilvl w:val="3"/>
          <w:numId w:val="6"/>
        </w:numPr>
        <w:autoSpaceDE w:val="0"/>
        <w:autoSpaceDN w:val="0"/>
        <w:adjustRightInd w:val="0"/>
        <w:spacing w:after="0" w:line="240" w:lineRule="auto"/>
        <w:ind w:left="567" w:hanging="283"/>
        <w:jc w:val="both"/>
        <w:rPr>
          <w:rFonts w:ascii="Roboto-Regular" w:hAnsi="Roboto-Regular" w:cs="Roboto-Regular"/>
        </w:rPr>
      </w:pPr>
      <w:r w:rsidRPr="00EA11A6">
        <w:rPr>
          <w:rFonts w:ascii="Roboto-Regular" w:hAnsi="Roboto-Regular" w:cs="Roboto-Regular"/>
        </w:rPr>
        <w:t>Ringkasan Ketua Konferensi Tingkat Menteri Pemberdayaan Perempuan (Bali, 24-25 Agustus 2022)</w:t>
      </w:r>
    </w:p>
    <w:p w14:paraId="52A452A6" w14:textId="77777777" w:rsidR="00EA11A6" w:rsidRDefault="005A3ECA" w:rsidP="00CB5A4A">
      <w:pPr>
        <w:pStyle w:val="ListParagraph"/>
        <w:numPr>
          <w:ilvl w:val="3"/>
          <w:numId w:val="6"/>
        </w:numPr>
        <w:autoSpaceDE w:val="0"/>
        <w:autoSpaceDN w:val="0"/>
        <w:adjustRightInd w:val="0"/>
        <w:spacing w:after="0" w:line="240" w:lineRule="auto"/>
        <w:ind w:left="567" w:hanging="283"/>
        <w:jc w:val="both"/>
        <w:rPr>
          <w:rFonts w:ascii="Roboto-Regular" w:hAnsi="Roboto-Regular" w:cs="Roboto-Regular"/>
        </w:rPr>
      </w:pPr>
      <w:r w:rsidRPr="00EA11A6">
        <w:rPr>
          <w:rFonts w:ascii="Roboto-Regular" w:hAnsi="Roboto-Regular" w:cs="Roboto-Regular"/>
        </w:rPr>
        <w:t>Rangkuman Ketua Pertemuan Bersama Menteri Lingkungan Hidup dan Iklim G20 (31 Agustus 2022)</w:t>
      </w:r>
    </w:p>
    <w:p w14:paraId="3E26F0D7"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Lampiran 1: Kemitraan G20 tentang Aksi Berbasis Laut untuk Mitigasi dan Adaptasi Iklim</w:t>
      </w:r>
    </w:p>
    <w:p w14:paraId="5BC796C3"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Lampiran 2: Studi G20 di bawah Kelompok Kerja Keberlanjutan Iklim</w:t>
      </w:r>
    </w:p>
    <w:p w14:paraId="626530F9" w14:textId="77777777" w:rsidR="00EA11A6" w:rsidRDefault="005A3ECA" w:rsidP="00CB5A4A">
      <w:pPr>
        <w:pStyle w:val="ListParagraph"/>
        <w:numPr>
          <w:ilvl w:val="3"/>
          <w:numId w:val="6"/>
        </w:numPr>
        <w:autoSpaceDE w:val="0"/>
        <w:autoSpaceDN w:val="0"/>
        <w:adjustRightInd w:val="0"/>
        <w:spacing w:after="0" w:line="240" w:lineRule="auto"/>
        <w:ind w:left="567" w:hanging="283"/>
        <w:jc w:val="both"/>
        <w:rPr>
          <w:rFonts w:ascii="Roboto-Regular" w:hAnsi="Roboto-Regular" w:cs="Roboto-Regular"/>
        </w:rPr>
      </w:pPr>
      <w:r w:rsidRPr="00EA11A6">
        <w:rPr>
          <w:rFonts w:ascii="Roboto-Regular" w:hAnsi="Roboto-Regular" w:cs="Roboto-Regular"/>
        </w:rPr>
        <w:t>Ringkasan Ketua G20 Digital Economy Ministers' Meeting 2022 (Bali, 1 September 2022)</w:t>
      </w:r>
    </w:p>
    <w:p w14:paraId="13DEA2AD"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Lampiran 1: Inventarisasi Konsep yang Diperluas dan Pemahaman Bersama tentang Konektivitas Digital</w:t>
      </w:r>
    </w:p>
    <w:p w14:paraId="0DE0F80C"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Lampiran 2: Kumpulan Kebijakan dan Rekomendasi untuk Meningkatkan Partisipasi Bermakna Masyarakat dalam Situasi Rentan dalam Ekonomi Digital</w:t>
      </w:r>
    </w:p>
    <w:p w14:paraId="5A88F5C5"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Lampiran 3: Laporan tentang Mengidentifikasi Pemberdaya Utama pada Identitas Digital</w:t>
      </w:r>
    </w:p>
    <w:p w14:paraId="294C646B" w14:textId="77777777" w:rsidR="00EA11A6" w:rsidRDefault="005A3ECA" w:rsidP="00CB5A4A">
      <w:pPr>
        <w:pStyle w:val="ListParagraph"/>
        <w:numPr>
          <w:ilvl w:val="3"/>
          <w:numId w:val="6"/>
        </w:numPr>
        <w:autoSpaceDE w:val="0"/>
        <w:autoSpaceDN w:val="0"/>
        <w:adjustRightInd w:val="0"/>
        <w:spacing w:after="0" w:line="240" w:lineRule="auto"/>
        <w:ind w:left="567" w:hanging="283"/>
        <w:jc w:val="both"/>
        <w:rPr>
          <w:rFonts w:ascii="Roboto-Regular" w:hAnsi="Roboto-Regular" w:cs="Roboto-Regular"/>
        </w:rPr>
      </w:pPr>
      <w:r w:rsidRPr="00EA11A6">
        <w:rPr>
          <w:rFonts w:ascii="Roboto-Regular" w:hAnsi="Roboto-Regular" w:cs="Roboto-Regular"/>
        </w:rPr>
        <w:t>Rangkuman Ketua G20 Pertemuan Menteri Pendidikan (Bali, 1 September 2022)</w:t>
      </w:r>
    </w:p>
    <w:p w14:paraId="0CB3D939" w14:textId="77777777" w:rsidR="00EA11A6" w:rsidRDefault="005A3ECA" w:rsidP="00CB5A4A">
      <w:pPr>
        <w:pStyle w:val="ListParagraph"/>
        <w:numPr>
          <w:ilvl w:val="3"/>
          <w:numId w:val="6"/>
        </w:numPr>
        <w:autoSpaceDE w:val="0"/>
        <w:autoSpaceDN w:val="0"/>
        <w:adjustRightInd w:val="0"/>
        <w:spacing w:after="0" w:line="240" w:lineRule="auto"/>
        <w:ind w:left="567" w:hanging="283"/>
        <w:jc w:val="both"/>
        <w:rPr>
          <w:rFonts w:ascii="Roboto-Regular" w:hAnsi="Roboto-Regular" w:cs="Roboto-Regular"/>
        </w:rPr>
      </w:pPr>
      <w:r w:rsidRPr="00EA11A6">
        <w:rPr>
          <w:rFonts w:ascii="Roboto-Regular" w:hAnsi="Roboto-Regular" w:cs="Roboto-Regular"/>
        </w:rPr>
        <w:t>Rangkuman Ketua G20 Pertemuan Menteri Transisi Energi 2022 (Bali, 2 September 2022)</w:t>
      </w:r>
    </w:p>
    <w:p w14:paraId="7D1EA00C"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Kompak Bali</w:t>
      </w:r>
    </w:p>
    <w:p w14:paraId="5ADDFAFF"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Dekade Aksi: Peta Jalan Transisi Energi Bali</w:t>
      </w:r>
    </w:p>
    <w:p w14:paraId="513D2B86"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Inventarisasi Akses, Teknologi dan Keuangan</w:t>
      </w:r>
    </w:p>
    <w:p w14:paraId="748F3F7F"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Rangkuman Side Event G20 2022 Energy Transitions Working Group</w:t>
      </w:r>
    </w:p>
    <w:p w14:paraId="5B114433" w14:textId="77777777" w:rsidR="00EA11A6" w:rsidRDefault="005A3ECA"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EA11A6">
        <w:rPr>
          <w:rFonts w:ascii="Roboto-Regular" w:hAnsi="Roboto-Regular" w:cs="Roboto-Regular"/>
        </w:rPr>
        <w:t>Rangkuman Ketua G20 tentang Multilateralisme untuk Tujuan Pembangunan Berkelanjutan (Belitung, 8 September 2022)</w:t>
      </w:r>
    </w:p>
    <w:p w14:paraId="09D3FB68"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Peta Jalan G20 untuk Pemulihan dan Ketahanan yang Lebih Kuat di Negara Berkembang, termasuk Negara Tertinggal dan Negara Berkembang Kepulauan Kecil</w:t>
      </w:r>
    </w:p>
    <w:p w14:paraId="41616D1E"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Prinsip G20 untuk Meningkatkan Pendanaan Campuran di Negara Berkembang, termasuk Negara Terbelakang dan Negara Berkembang Kepulauan Kecil</w:t>
      </w:r>
    </w:p>
    <w:p w14:paraId="37FC83E1"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G20 Bali Update 2022 Rencana Aksi G20 Agenda 2030 untuk Pembangunan Berkelanjutan dan Komitmen Pembangunan G20</w:t>
      </w:r>
    </w:p>
    <w:p w14:paraId="3BF1F299" w14:textId="77777777" w:rsidR="00CB5A4A" w:rsidRDefault="005A3ECA"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EA11A6">
        <w:rPr>
          <w:rFonts w:ascii="Roboto-Regular" w:hAnsi="Roboto-Regular" w:cs="Roboto-Regular"/>
        </w:rPr>
        <w:t>Culture for Sustainable Living: Ringkasan Ketua Pertemuan Menteri Kebudayaan G20 (Borobudur, 13 September 2022)</w:t>
      </w:r>
    </w:p>
    <w:p w14:paraId="1D413568" w14:textId="212FA5A2" w:rsidR="00EA11A6" w:rsidRPr="00CB5A4A" w:rsidRDefault="005A3ECA"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CB5A4A">
        <w:rPr>
          <w:rFonts w:ascii="Roboto-Regular" w:hAnsi="Roboto-Regular" w:cs="Roboto-Regular"/>
        </w:rPr>
        <w:t>Rangkuman Ketua G20 Pertemuan Menteri Tenaga Kerja dan Ketenagakerjaan 2022 (Bali, 13-14 September 2022)</w:t>
      </w:r>
    </w:p>
    <w:p w14:paraId="59F5CD16" w14:textId="77777777" w:rsidR="00EA11A6" w:rsidRDefault="005A3ECA" w:rsidP="00CB5A4A">
      <w:pPr>
        <w:pStyle w:val="ListParagraph"/>
        <w:numPr>
          <w:ilvl w:val="4"/>
          <w:numId w:val="6"/>
        </w:numPr>
        <w:autoSpaceDE w:val="0"/>
        <w:autoSpaceDN w:val="0"/>
        <w:adjustRightInd w:val="0"/>
        <w:spacing w:after="0" w:line="240" w:lineRule="auto"/>
        <w:ind w:left="851" w:hanging="284"/>
        <w:jc w:val="both"/>
        <w:rPr>
          <w:rFonts w:ascii="Roboto-Regular" w:hAnsi="Roboto-Regular" w:cs="Roboto-Regular"/>
        </w:rPr>
      </w:pPr>
      <w:r w:rsidRPr="00EA11A6">
        <w:rPr>
          <w:rFonts w:ascii="Roboto-Regular" w:hAnsi="Roboto-Regular" w:cs="Roboto-Regular"/>
        </w:rPr>
        <w:t>Rekomendasi Kebijakan G20 untuk Pertumbuhan dan Produktivitas Berkelanjutan dalam Pengembangan Kapasitas Manusia melalui Penguatan Pelatihan Kejuruan Berbasis Komunitas (CBVT)</w:t>
      </w:r>
    </w:p>
    <w:p w14:paraId="23B08644" w14:textId="77777777" w:rsidR="00EA11A6" w:rsidRDefault="005A3ECA" w:rsidP="00CB5A4A">
      <w:pPr>
        <w:pStyle w:val="ListParagraph"/>
        <w:numPr>
          <w:ilvl w:val="4"/>
          <w:numId w:val="6"/>
        </w:numPr>
        <w:autoSpaceDE w:val="0"/>
        <w:autoSpaceDN w:val="0"/>
        <w:adjustRightInd w:val="0"/>
        <w:spacing w:after="0" w:line="240" w:lineRule="auto"/>
        <w:ind w:left="851" w:hanging="284"/>
        <w:jc w:val="both"/>
        <w:rPr>
          <w:rFonts w:ascii="Roboto-Regular" w:hAnsi="Roboto-Regular" w:cs="Roboto-Regular"/>
        </w:rPr>
      </w:pPr>
      <w:r w:rsidRPr="00EA11A6">
        <w:rPr>
          <w:rFonts w:ascii="Roboto-Regular" w:hAnsi="Roboto-Regular" w:cs="Roboto-Regular"/>
        </w:rPr>
        <w:t>Prinsip Kebijakan G20 tentang Mengadaptasi Perlindungan Tenaga Kerja untuk Perlindungan yang Lebih Efektif dan Peningkatan Ketahanan bagi Semua Pekerja</w:t>
      </w:r>
    </w:p>
    <w:p w14:paraId="340FE560" w14:textId="77777777" w:rsidR="00EA11A6" w:rsidRDefault="00EA11A6" w:rsidP="00CB5A4A">
      <w:pPr>
        <w:pStyle w:val="ListParagraph"/>
        <w:numPr>
          <w:ilvl w:val="4"/>
          <w:numId w:val="6"/>
        </w:numPr>
        <w:autoSpaceDE w:val="0"/>
        <w:autoSpaceDN w:val="0"/>
        <w:adjustRightInd w:val="0"/>
        <w:spacing w:after="0" w:line="240" w:lineRule="auto"/>
        <w:ind w:left="851" w:hanging="284"/>
        <w:jc w:val="both"/>
        <w:rPr>
          <w:rFonts w:ascii="Roboto-Regular" w:hAnsi="Roboto-Regular" w:cs="Roboto-Regular"/>
        </w:rPr>
      </w:pPr>
      <w:r w:rsidRPr="00EA11A6">
        <w:rPr>
          <w:rFonts w:ascii="Roboto-Regular" w:hAnsi="Roboto-Regular" w:cs="Roboto-Regular"/>
        </w:rPr>
        <w:lastRenderedPageBreak/>
        <w:t>Rekomendasi Kebijakan Mempromosikan Kewirausahaan dan Mendukung UMKM Sebagai Instrumen Penciptaan Lapangan Kerja</w:t>
      </w:r>
    </w:p>
    <w:p w14:paraId="7E9A568B" w14:textId="77777777" w:rsidR="00EA11A6" w:rsidRDefault="00EA11A6" w:rsidP="00CB5A4A">
      <w:pPr>
        <w:pStyle w:val="ListParagraph"/>
        <w:numPr>
          <w:ilvl w:val="4"/>
          <w:numId w:val="6"/>
        </w:numPr>
        <w:autoSpaceDE w:val="0"/>
        <w:autoSpaceDN w:val="0"/>
        <w:adjustRightInd w:val="0"/>
        <w:spacing w:after="0" w:line="240" w:lineRule="auto"/>
        <w:ind w:left="851" w:hanging="284"/>
        <w:jc w:val="both"/>
        <w:rPr>
          <w:rFonts w:ascii="Roboto-Regular" w:hAnsi="Roboto-Regular" w:cs="Roboto-Regular"/>
        </w:rPr>
      </w:pPr>
      <w:r w:rsidRPr="00EA11A6">
        <w:rPr>
          <w:rFonts w:ascii="Roboto-Regular" w:hAnsi="Roboto-Regular" w:cs="Roboto-Regular"/>
        </w:rPr>
        <w:t xml:space="preserve">Rencana Aksi Percepatan dan Pemantauan Prinsip G20 untuk </w:t>
      </w:r>
      <w:r>
        <w:rPr>
          <w:rFonts w:ascii="Roboto-Regular" w:hAnsi="Roboto-Regular" w:cs="Roboto-Regular"/>
        </w:rPr>
        <w:t>Integrasi Pasar Tenaga Kerja Penyandang Disabilitas</w:t>
      </w:r>
    </w:p>
    <w:p w14:paraId="5A50FB3C" w14:textId="77777777" w:rsidR="00EA11A6" w:rsidRDefault="00EA11A6" w:rsidP="00CB5A4A">
      <w:pPr>
        <w:pStyle w:val="ListParagraph"/>
        <w:numPr>
          <w:ilvl w:val="4"/>
          <w:numId w:val="6"/>
        </w:numPr>
        <w:autoSpaceDE w:val="0"/>
        <w:autoSpaceDN w:val="0"/>
        <w:adjustRightInd w:val="0"/>
        <w:spacing w:after="0" w:line="240" w:lineRule="auto"/>
        <w:ind w:left="851" w:hanging="284"/>
        <w:jc w:val="both"/>
        <w:rPr>
          <w:rFonts w:ascii="Roboto-Regular" w:hAnsi="Roboto-Regular" w:cs="Roboto-Regular"/>
        </w:rPr>
      </w:pPr>
      <w:r w:rsidRPr="00EA11A6">
        <w:rPr>
          <w:rFonts w:ascii="Roboto-Regular" w:hAnsi="Roboto-Regular" w:cs="Roboto-Regular"/>
        </w:rPr>
        <w:t>Pembaruan Strategi Keterampilan G20</w:t>
      </w:r>
    </w:p>
    <w:p w14:paraId="3ED5CC0C" w14:textId="77777777" w:rsidR="00EA11A6"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EA11A6">
        <w:rPr>
          <w:rFonts w:ascii="Roboto-Regular" w:hAnsi="Roboto-Regular" w:cs="Roboto-Regular"/>
        </w:rPr>
        <w:t>Ringkasan Ketua G20 Pertemuan Menteri Perdagangan, Investasi dan Industri (Bali, 22-23 September 2022)</w:t>
      </w:r>
    </w:p>
    <w:p w14:paraId="3B60E4D4" w14:textId="77777777" w:rsidR="00EA11A6" w:rsidRDefault="00EA11A6"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Prinsip Panduan Tidak Mengikat untuk Mendukung Sistem Perdagangan Multilateral untuk Pencapaian SDGs</w:t>
      </w:r>
    </w:p>
    <w:p w14:paraId="63175BD7" w14:textId="77777777" w:rsidR="00EA11A6" w:rsidRDefault="00EA11A6"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Kompendium G20 tentang Mempromosikan Investasi untuk Pembangunan Berkelanjutan (Bali Compendium)</w:t>
      </w:r>
    </w:p>
    <w:p w14:paraId="16197F48" w14:textId="77777777" w:rsidR="00EA11A6"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EA11A6">
        <w:rPr>
          <w:rFonts w:ascii="Roboto-Regular" w:hAnsi="Roboto-Regular" w:cs="Roboto-Regular"/>
        </w:rPr>
        <w:t>Rangkuman Ketua Pertemuan Menteri Pariwisata G20 2022</w:t>
      </w:r>
    </w:p>
    <w:p w14:paraId="1BD830C0" w14:textId="77777777" w:rsidR="00854CF5" w:rsidRDefault="00EA11A6"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Bali Pedoman Penguatan Masyarakat dan UMKM sebagai Agen Transformasi Pariwisata – Pemulihan Berpusat pada Masyarakat</w:t>
      </w:r>
    </w:p>
    <w:p w14:paraId="404D757D" w14:textId="77777777" w:rsidR="00854CF5"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Chair's Summary Pertemuan Menteri Pertanian G20 “Menyeimbangkan Produksi dan Perdagangan Pangan untuk Memenuhi Pangan untuk Semua (Bali, 28 September 2022)</w:t>
      </w:r>
    </w:p>
    <w:p w14:paraId="7077FD09" w14:textId="77777777" w:rsidR="00854CF5"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High Level Principles Peningkatan Peran Audit dalam Penanganan Korupsi (29 Juli 2022)</w:t>
      </w:r>
    </w:p>
    <w:p w14:paraId="5DA63265" w14:textId="77777777" w:rsidR="00854CF5"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Catatan Latar Belakang Mitigasi Risiko Korupsi dalam Energi Terbarukan (11 November 2022)</w:t>
      </w:r>
    </w:p>
    <w:p w14:paraId="5DC96039" w14:textId="77777777" w:rsidR="00854CF5"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Kompendium Praktik Baik Partisipasi Publik dan Pendidikan Antikorupsi (11 November 2022)</w:t>
      </w:r>
    </w:p>
    <w:p w14:paraId="484F1DD3" w14:textId="77777777" w:rsidR="00854CF5"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Kompendium Praktik Baik Kerangka Peraturan dan Tindakan Pengawasan bagi Profesional Hukum untuk Memitigasi Risiko Pencucian Uang Terkait Korupsi (11 November 2022)</w:t>
      </w:r>
    </w:p>
    <w:p w14:paraId="297ECCC5" w14:textId="77777777" w:rsidR="00854CF5"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Laporan Akuntabilitas G20 ACWG (12 November 2022)</w:t>
      </w:r>
    </w:p>
    <w:p w14:paraId="115F50FE" w14:textId="77777777" w:rsidR="00854CF5"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Pertemuan Menteri Keuangan dan Pertanian Bersama G20: Ringkasan Ketua Kepresidenan G20 (Washington DC, 11 Oktober 2022)</w:t>
      </w:r>
    </w:p>
    <w:p w14:paraId="4EF6F51D" w14:textId="77777777" w:rsidR="00854CF5"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Rangkuman Ketua G20 Pertemuan Menteri Keuangan dan Gubernur Bank Sentral G20 Keempat (Washington DC, 12-13 Oktober 2022)</w:t>
      </w:r>
    </w:p>
    <w:p w14:paraId="590EA952" w14:textId="77777777" w:rsidR="00854CF5"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Chair's Summary Meeting Menteri Kesehatan: Aksi Menteri Kesehatan G20 untuk Memperkuat Arsitektur Kesehatan Global (Bali, 27-28 Oktober 2022)</w:t>
      </w:r>
    </w:p>
    <w:p w14:paraId="0B4F1D52" w14:textId="77777777" w:rsidR="00CB5A4A" w:rsidRDefault="00EA11A6" w:rsidP="00CB5A4A">
      <w:pPr>
        <w:pStyle w:val="ListParagraph"/>
        <w:numPr>
          <w:ilvl w:val="4"/>
          <w:numId w:val="6"/>
        </w:numPr>
        <w:autoSpaceDE w:val="0"/>
        <w:autoSpaceDN w:val="0"/>
        <w:adjustRightInd w:val="0"/>
        <w:spacing w:after="0" w:line="240" w:lineRule="auto"/>
        <w:ind w:left="851" w:hanging="284"/>
        <w:jc w:val="both"/>
        <w:rPr>
          <w:rFonts w:ascii="Roboto-Regular" w:hAnsi="Roboto-Regular" w:cs="Roboto-Regular"/>
        </w:rPr>
      </w:pPr>
      <w:r w:rsidRPr="00854CF5">
        <w:rPr>
          <w:rFonts w:ascii="Roboto-Regular" w:hAnsi="Roboto-Regular" w:cs="Roboto-Regular"/>
        </w:rPr>
        <w:t>Ringkasan Kebijakan One Health G20 Lombok</w:t>
      </w:r>
    </w:p>
    <w:p w14:paraId="0A73B360" w14:textId="77777777" w:rsidR="00CB5A4A" w:rsidRDefault="00EA11A6" w:rsidP="00CB5A4A">
      <w:pPr>
        <w:pStyle w:val="ListParagraph"/>
        <w:numPr>
          <w:ilvl w:val="4"/>
          <w:numId w:val="6"/>
        </w:numPr>
        <w:autoSpaceDE w:val="0"/>
        <w:autoSpaceDN w:val="0"/>
        <w:adjustRightInd w:val="0"/>
        <w:spacing w:after="0" w:line="240" w:lineRule="auto"/>
        <w:ind w:left="851" w:hanging="284"/>
        <w:jc w:val="both"/>
        <w:rPr>
          <w:rFonts w:ascii="Roboto-Regular" w:hAnsi="Roboto-Regular" w:cs="Roboto-Regular"/>
        </w:rPr>
      </w:pPr>
      <w:r w:rsidRPr="00CB5A4A">
        <w:rPr>
          <w:rFonts w:ascii="Roboto-Regular" w:hAnsi="Roboto-Regular" w:cs="Roboto-Regular"/>
        </w:rPr>
        <w:t>Ajakan Bertindak tentang Pembiayaan untuk Respons TB</w:t>
      </w:r>
    </w:p>
    <w:p w14:paraId="4DC91EA7" w14:textId="138C5A5F" w:rsidR="00EA11A6" w:rsidRPr="00CB5A4A" w:rsidRDefault="00EA11A6" w:rsidP="00CB5A4A">
      <w:pPr>
        <w:pStyle w:val="ListParagraph"/>
        <w:numPr>
          <w:ilvl w:val="4"/>
          <w:numId w:val="6"/>
        </w:numPr>
        <w:autoSpaceDE w:val="0"/>
        <w:autoSpaceDN w:val="0"/>
        <w:adjustRightInd w:val="0"/>
        <w:spacing w:after="0" w:line="240" w:lineRule="auto"/>
        <w:ind w:left="851" w:hanging="284"/>
        <w:jc w:val="both"/>
        <w:rPr>
          <w:rFonts w:ascii="Roboto-Regular" w:hAnsi="Roboto-Regular" w:cs="Roboto-Regular"/>
        </w:rPr>
      </w:pPr>
      <w:r w:rsidRPr="00CB5A4A">
        <w:rPr>
          <w:rFonts w:ascii="Roboto-Regular" w:hAnsi="Roboto-Regular" w:cs="Roboto-Regular"/>
        </w:rPr>
        <w:t>Ajakan untuk Bertindak pada Resistensi Antimikroba</w:t>
      </w:r>
    </w:p>
    <w:p w14:paraId="02BD8CE4" w14:textId="5D0F9599" w:rsidR="00EA11A6"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Ringkasan Ketua Pertemuan Menteri Keuangan-Kesehatan G20 (Bali, 13 November 2022)</w:t>
      </w:r>
    </w:p>
    <w:p w14:paraId="39EAFBAE" w14:textId="6640C577" w:rsidR="00854CF5" w:rsidRDefault="00854CF5" w:rsidP="006912F2">
      <w:pPr>
        <w:autoSpaceDE w:val="0"/>
        <w:autoSpaceDN w:val="0"/>
        <w:adjustRightInd w:val="0"/>
        <w:spacing w:after="0" w:line="240" w:lineRule="auto"/>
        <w:jc w:val="both"/>
        <w:rPr>
          <w:rFonts w:ascii="Roboto-Regular" w:hAnsi="Roboto-Regular" w:cs="Roboto-Regular"/>
        </w:rPr>
      </w:pPr>
    </w:p>
    <w:p w14:paraId="5DE453D9" w14:textId="50995095" w:rsidR="00854CF5" w:rsidRPr="00854CF5" w:rsidRDefault="00854CF5" w:rsidP="00CB5A4A">
      <w:pPr>
        <w:pStyle w:val="ListParagraph"/>
        <w:numPr>
          <w:ilvl w:val="0"/>
          <w:numId w:val="6"/>
        </w:numPr>
        <w:autoSpaceDE w:val="0"/>
        <w:autoSpaceDN w:val="0"/>
        <w:adjustRightInd w:val="0"/>
        <w:spacing w:after="0" w:line="240" w:lineRule="auto"/>
        <w:ind w:left="284"/>
        <w:jc w:val="both"/>
        <w:rPr>
          <w:rFonts w:ascii="Roboto-Bold" w:hAnsi="Roboto-Bold" w:cs="Roboto-Bold"/>
          <w:b/>
          <w:bCs/>
        </w:rPr>
      </w:pPr>
      <w:r w:rsidRPr="00854CF5">
        <w:rPr>
          <w:rFonts w:ascii="Roboto-Bold" w:hAnsi="Roboto-Bold" w:cs="Roboto-Bold"/>
          <w:b/>
          <w:bCs/>
        </w:rPr>
        <w:t>Aksi G20 untuk Pemulihan yang Kuat dan Inklusif</w:t>
      </w:r>
    </w:p>
    <w:p w14:paraId="59EC12C7" w14:textId="2E7E05BB" w:rsidR="00854CF5" w:rsidRDefault="00854CF5" w:rsidP="006912F2">
      <w:pPr>
        <w:autoSpaceDE w:val="0"/>
        <w:autoSpaceDN w:val="0"/>
        <w:adjustRightInd w:val="0"/>
        <w:spacing w:after="0" w:line="240" w:lineRule="auto"/>
        <w:jc w:val="both"/>
        <w:rPr>
          <w:rFonts w:ascii="Roboto-Regular" w:hAnsi="Roboto-Regular" w:cs="Roboto-Regular"/>
        </w:rPr>
      </w:pPr>
    </w:p>
    <w:p w14:paraId="33AEADA1" w14:textId="77777777" w:rsidR="00854CF5" w:rsidRPr="00854CF5" w:rsidRDefault="00854CF5" w:rsidP="006912F2">
      <w:pPr>
        <w:autoSpaceDE w:val="0"/>
        <w:autoSpaceDN w:val="0"/>
        <w:adjustRightInd w:val="0"/>
        <w:spacing w:after="0" w:line="240" w:lineRule="auto"/>
        <w:jc w:val="both"/>
        <w:rPr>
          <w:rFonts w:ascii="Roboto-Regular" w:hAnsi="Roboto-Regular" w:cs="Roboto-Regular"/>
        </w:rPr>
      </w:pPr>
    </w:p>
    <w:sectPr w:rsidR="00854CF5" w:rsidRPr="00854CF5" w:rsidSect="00043865">
      <w:headerReference w:type="default" r:id="rId8"/>
      <w:footerReference w:type="default" r:id="rId9"/>
      <w:pgSz w:w="11906" w:h="16838" w:code="9"/>
      <w:pgMar w:top="241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A5973" w14:textId="77777777" w:rsidR="00F17253" w:rsidRDefault="00F17253" w:rsidP="009B7001">
      <w:pPr>
        <w:spacing w:after="0" w:line="240" w:lineRule="auto"/>
      </w:pPr>
      <w:r>
        <w:separator/>
      </w:r>
    </w:p>
  </w:endnote>
  <w:endnote w:type="continuationSeparator" w:id="0">
    <w:p w14:paraId="3CC04AA4" w14:textId="77777777" w:rsidR="00F17253" w:rsidRDefault="00F17253" w:rsidP="009B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Regular">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Roboto-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49376"/>
      <w:docPartObj>
        <w:docPartGallery w:val="Page Numbers (Bottom of Page)"/>
        <w:docPartUnique/>
      </w:docPartObj>
    </w:sdtPr>
    <w:sdtEndPr>
      <w:rPr>
        <w:rFonts w:ascii="Roboto" w:hAnsi="Roboto"/>
        <w:noProof/>
        <w:color w:val="002060"/>
        <w:sz w:val="24"/>
        <w:szCs w:val="24"/>
      </w:rPr>
    </w:sdtEndPr>
    <w:sdtContent>
      <w:p w14:paraId="49BDA11D" w14:textId="5E470DEC" w:rsidR="00DA0930" w:rsidRDefault="00DA0930" w:rsidP="00DA0930">
        <w:pPr>
          <w:pStyle w:val="Footer"/>
          <w:jc w:val="right"/>
        </w:pPr>
        <w:r w:rsidRPr="00724631">
          <w:rPr>
            <w:noProof/>
            <w:sz w:val="20"/>
            <w:szCs w:val="20"/>
          </w:rPr>
          <w:drawing>
            <wp:anchor distT="0" distB="0" distL="114300" distR="114300" simplePos="0" relativeHeight="251660288" behindDoc="0" locked="0" layoutInCell="1" allowOverlap="1" wp14:anchorId="5F381874" wp14:editId="5880269A">
              <wp:simplePos x="0" y="0"/>
              <wp:positionH relativeFrom="column">
                <wp:posOffset>-197856</wp:posOffset>
              </wp:positionH>
              <wp:positionV relativeFrom="paragraph">
                <wp:posOffset>198755</wp:posOffset>
              </wp:positionV>
              <wp:extent cx="5731510" cy="125730"/>
              <wp:effectExtent l="0" t="0" r="254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125730"/>
                      </a:xfrm>
                      <a:prstGeom prst="rect">
                        <a:avLst/>
                      </a:prstGeom>
                    </pic:spPr>
                  </pic:pic>
                </a:graphicData>
              </a:graphic>
              <wp14:sizeRelH relativeFrom="page">
                <wp14:pctWidth>0</wp14:pctWidth>
              </wp14:sizeRelH>
              <wp14:sizeRelV relativeFrom="page">
                <wp14:pctHeight>0</wp14:pctHeight>
              </wp14:sizeRelV>
            </wp:anchor>
          </w:drawing>
        </w:r>
      </w:p>
      <w:p w14:paraId="10440B9F" w14:textId="5E470DEC" w:rsidR="00724631" w:rsidRPr="00DA0930" w:rsidRDefault="00724631" w:rsidP="00DA0930">
        <w:pPr>
          <w:pStyle w:val="Footer"/>
          <w:jc w:val="right"/>
        </w:pPr>
        <w:r w:rsidRPr="00724631">
          <w:rPr>
            <w:rFonts w:ascii="Roboto" w:hAnsi="Roboto"/>
            <w:color w:val="002060"/>
          </w:rPr>
          <w:fldChar w:fldCharType="begin"/>
        </w:r>
        <w:r w:rsidRPr="00724631">
          <w:rPr>
            <w:rFonts w:ascii="Roboto" w:hAnsi="Roboto"/>
            <w:color w:val="002060"/>
          </w:rPr>
          <w:instrText xml:space="preserve"> PAGE   \* MERGEFORMAT </w:instrText>
        </w:r>
        <w:r w:rsidRPr="00724631">
          <w:rPr>
            <w:rFonts w:ascii="Roboto" w:hAnsi="Roboto"/>
            <w:color w:val="002060"/>
          </w:rPr>
          <w:fldChar w:fldCharType="separate"/>
        </w:r>
        <w:r w:rsidRPr="00724631">
          <w:rPr>
            <w:rFonts w:ascii="Roboto" w:hAnsi="Roboto"/>
            <w:noProof/>
            <w:color w:val="002060"/>
          </w:rPr>
          <w:t>2</w:t>
        </w:r>
        <w:r w:rsidRPr="00724631">
          <w:rPr>
            <w:rFonts w:ascii="Roboto" w:hAnsi="Roboto"/>
            <w:noProof/>
            <w:color w:val="002060"/>
          </w:rPr>
          <w:fldChar w:fldCharType="end"/>
        </w:r>
      </w:p>
      <w:p w14:paraId="5A1D3957" w14:textId="77777777" w:rsidR="00724631" w:rsidRPr="00724631" w:rsidRDefault="00724631" w:rsidP="00724631">
        <w:pPr>
          <w:pStyle w:val="Footer"/>
          <w:jc w:val="right"/>
          <w:rPr>
            <w:rFonts w:ascii="Roboto" w:hAnsi="Roboto"/>
            <w:noProof/>
            <w:color w:val="002060"/>
          </w:rPr>
        </w:pPr>
      </w:p>
      <w:p w14:paraId="0A2F5AD4" w14:textId="79197894" w:rsidR="00724631" w:rsidRPr="00724631" w:rsidRDefault="00F17253" w:rsidP="00724631">
        <w:pPr>
          <w:pStyle w:val="Footer"/>
          <w:jc w:val="right"/>
          <w:rPr>
            <w:rFonts w:ascii="Roboto" w:hAnsi="Roboto"/>
            <w:color w:val="002060"/>
            <w:sz w:val="24"/>
            <w:szCs w:val="24"/>
          </w:rPr>
        </w:pPr>
      </w:p>
    </w:sdtContent>
  </w:sdt>
  <w:p w14:paraId="3AAB835D" w14:textId="274E841F" w:rsidR="00046633" w:rsidRDefault="00046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706DB" w14:textId="77777777" w:rsidR="00F17253" w:rsidRDefault="00F17253" w:rsidP="009B7001">
      <w:pPr>
        <w:spacing w:after="0" w:line="240" w:lineRule="auto"/>
      </w:pPr>
      <w:r>
        <w:separator/>
      </w:r>
    </w:p>
  </w:footnote>
  <w:footnote w:type="continuationSeparator" w:id="0">
    <w:p w14:paraId="5902F7E4" w14:textId="77777777" w:rsidR="00F17253" w:rsidRDefault="00F17253" w:rsidP="009B7001">
      <w:pPr>
        <w:spacing w:after="0" w:line="240" w:lineRule="auto"/>
      </w:pPr>
      <w:r>
        <w:continuationSeparator/>
      </w:r>
    </w:p>
  </w:footnote>
  <w:footnote w:id="1">
    <w:p w14:paraId="4D119610" w14:textId="538CC408" w:rsidR="00FF540B" w:rsidRPr="00CB5A4A" w:rsidRDefault="00FF540B" w:rsidP="00CB5A4A">
      <w:pPr>
        <w:autoSpaceDE w:val="0"/>
        <w:autoSpaceDN w:val="0"/>
        <w:adjustRightInd w:val="0"/>
        <w:spacing w:after="0" w:line="240" w:lineRule="auto"/>
        <w:jc w:val="both"/>
        <w:rPr>
          <w:rFonts w:ascii="Roboto" w:hAnsi="Roboto"/>
          <w:sz w:val="20"/>
          <w:szCs w:val="20"/>
          <w:lang w:val="en-US"/>
        </w:rPr>
      </w:pPr>
      <w:r w:rsidRPr="00CB5A4A">
        <w:rPr>
          <w:rStyle w:val="FootnoteReference"/>
          <w:rFonts w:ascii="Roboto" w:hAnsi="Roboto"/>
          <w:sz w:val="20"/>
          <w:szCs w:val="20"/>
        </w:rPr>
        <w:footnoteRef/>
      </w:r>
      <w:r w:rsidRPr="00CB5A4A">
        <w:rPr>
          <w:rFonts w:ascii="Roboto" w:hAnsi="Roboto"/>
          <w:sz w:val="20"/>
          <w:szCs w:val="20"/>
        </w:rPr>
        <w:t xml:space="preserve"> </w:t>
      </w:r>
      <w:r w:rsidRPr="00CB5A4A">
        <w:rPr>
          <w:rFonts w:ascii="Roboto" w:hAnsi="Roboto" w:cs="ArialMT"/>
          <w:sz w:val="20"/>
          <w:szCs w:val="20"/>
        </w:rPr>
        <w:t>Memperhatikan bahwa salah satu anggota memiliki pandangan yang berbeda tentang masalah utang di paragraf 33, dan menekankan pentingnya perlakuan utang oleh kreditur multilateral seperti MDB.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01F28" w14:textId="71CD968A" w:rsidR="00046633" w:rsidRDefault="001B1AE0" w:rsidP="006912F2">
    <w:pPr>
      <w:pStyle w:val="Header"/>
      <w:ind w:left="-709"/>
    </w:pPr>
    <w:r>
      <w:rPr>
        <w:rFonts w:ascii="Roboto-Regular" w:hAnsi="Roboto-Regular" w:cs="Roboto-Regular"/>
        <w:noProof/>
      </w:rPr>
      <w:drawing>
        <wp:anchor distT="0" distB="0" distL="114300" distR="114300" simplePos="0" relativeHeight="251659264" behindDoc="0" locked="0" layoutInCell="1" allowOverlap="1" wp14:anchorId="04235FB5" wp14:editId="7A9765C9">
          <wp:simplePos x="0" y="0"/>
          <wp:positionH relativeFrom="column">
            <wp:posOffset>3211991</wp:posOffset>
          </wp:positionH>
          <wp:positionV relativeFrom="paragraph">
            <wp:posOffset>205105</wp:posOffset>
          </wp:positionV>
          <wp:extent cx="5071110" cy="8752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20_Indonesia_2022_logo.svg.png"/>
                  <pic:cNvPicPr/>
                </pic:nvPicPr>
                <pic:blipFill rotWithShape="1">
                  <a:blip r:embed="rId1">
                    <a:duotone>
                      <a:schemeClr val="bg2">
                        <a:shade val="45000"/>
                        <a:satMod val="135000"/>
                      </a:schemeClr>
                      <a:prstClr val="white"/>
                    </a:duotone>
                    <a:extLst>
                      <a:ext uri="{BEBA8EAE-BF5A-486C-A8C5-ECC9F3942E4B}">
                        <a14:imgProps xmlns:a14="http://schemas.microsoft.com/office/drawing/2010/main">
                          <a14:imgLayer r:embed="rId2">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2920" r="39663" b="40533"/>
                  <a:stretch/>
                </pic:blipFill>
                <pic:spPr bwMode="auto">
                  <a:xfrm>
                    <a:off x="0" y="0"/>
                    <a:ext cx="5071110" cy="8752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2F2">
      <w:rPr>
        <w:noProof/>
      </w:rPr>
      <w:drawing>
        <wp:inline distT="0" distB="0" distL="0" distR="0" wp14:anchorId="5A4F99C1" wp14:editId="09AEEE0B">
          <wp:extent cx="1790713" cy="10287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790713" cy="10287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365F"/>
    <w:multiLevelType w:val="hybridMultilevel"/>
    <w:tmpl w:val="5AFE21B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A6D23AD"/>
    <w:multiLevelType w:val="hybridMultilevel"/>
    <w:tmpl w:val="9A5AD3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7D9050A"/>
    <w:multiLevelType w:val="hybridMultilevel"/>
    <w:tmpl w:val="5AFE21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C58775F"/>
    <w:multiLevelType w:val="hybridMultilevel"/>
    <w:tmpl w:val="8ADC8F42"/>
    <w:lvl w:ilvl="0" w:tplc="E30031C4">
      <w:start w:val="2"/>
      <w:numFmt w:val="bullet"/>
      <w:lvlText w:val="-"/>
      <w:lvlJc w:val="left"/>
      <w:pPr>
        <w:ind w:left="1800" w:hanging="360"/>
      </w:pPr>
      <w:rPr>
        <w:rFonts w:ascii="Roboto-Regular" w:eastAsiaTheme="minorHAnsi" w:hAnsi="Roboto-Regular" w:cs="Roboto-Regular"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4" w15:restartNumberingAfterBreak="0">
    <w:nsid w:val="539376C6"/>
    <w:multiLevelType w:val="hybridMultilevel"/>
    <w:tmpl w:val="5AFE21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7733802"/>
    <w:multiLevelType w:val="hybridMultilevel"/>
    <w:tmpl w:val="8C02D006"/>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E7B0D9F"/>
    <w:multiLevelType w:val="hybridMultilevel"/>
    <w:tmpl w:val="5AFE21B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2E"/>
    <w:rsid w:val="00043865"/>
    <w:rsid w:val="00046633"/>
    <w:rsid w:val="000B7EC0"/>
    <w:rsid w:val="001B1AE0"/>
    <w:rsid w:val="001F22C6"/>
    <w:rsid w:val="002019B4"/>
    <w:rsid w:val="0022284E"/>
    <w:rsid w:val="002E4760"/>
    <w:rsid w:val="002E5FA8"/>
    <w:rsid w:val="00435C7A"/>
    <w:rsid w:val="00475AC4"/>
    <w:rsid w:val="005A3ECA"/>
    <w:rsid w:val="005D0386"/>
    <w:rsid w:val="006212E3"/>
    <w:rsid w:val="00646772"/>
    <w:rsid w:val="006912F2"/>
    <w:rsid w:val="00706A52"/>
    <w:rsid w:val="00724631"/>
    <w:rsid w:val="00755CA0"/>
    <w:rsid w:val="007E35BC"/>
    <w:rsid w:val="00854CF5"/>
    <w:rsid w:val="00933B7D"/>
    <w:rsid w:val="009B7001"/>
    <w:rsid w:val="00A21A2E"/>
    <w:rsid w:val="00CB5A4A"/>
    <w:rsid w:val="00D247BD"/>
    <w:rsid w:val="00D40834"/>
    <w:rsid w:val="00D82C03"/>
    <w:rsid w:val="00DA0930"/>
    <w:rsid w:val="00DD17BA"/>
    <w:rsid w:val="00DD4019"/>
    <w:rsid w:val="00E10EA4"/>
    <w:rsid w:val="00EA11A6"/>
    <w:rsid w:val="00F17253"/>
    <w:rsid w:val="00FE4C64"/>
    <w:rsid w:val="00FF540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64A62"/>
  <w15:chartTrackingRefBased/>
  <w15:docId w15:val="{F0125225-F87C-4F4E-8650-D75CB6CE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2E"/>
    <w:pPr>
      <w:ind w:left="720"/>
      <w:contextualSpacing/>
    </w:pPr>
  </w:style>
  <w:style w:type="paragraph" w:styleId="FootnoteText">
    <w:name w:val="footnote text"/>
    <w:basedOn w:val="Normal"/>
    <w:link w:val="FootnoteTextChar"/>
    <w:uiPriority w:val="99"/>
    <w:semiHidden/>
    <w:unhideWhenUsed/>
    <w:rsid w:val="009B7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001"/>
    <w:rPr>
      <w:sz w:val="20"/>
      <w:szCs w:val="20"/>
    </w:rPr>
  </w:style>
  <w:style w:type="character" w:styleId="FootnoteReference">
    <w:name w:val="footnote reference"/>
    <w:basedOn w:val="DefaultParagraphFont"/>
    <w:uiPriority w:val="99"/>
    <w:semiHidden/>
    <w:unhideWhenUsed/>
    <w:rsid w:val="009B7001"/>
    <w:rPr>
      <w:vertAlign w:val="superscript"/>
    </w:rPr>
  </w:style>
  <w:style w:type="paragraph" w:styleId="Header">
    <w:name w:val="header"/>
    <w:basedOn w:val="Normal"/>
    <w:link w:val="HeaderChar"/>
    <w:uiPriority w:val="99"/>
    <w:unhideWhenUsed/>
    <w:rsid w:val="00046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633"/>
  </w:style>
  <w:style w:type="paragraph" w:styleId="Footer">
    <w:name w:val="footer"/>
    <w:basedOn w:val="Normal"/>
    <w:link w:val="FooterChar"/>
    <w:uiPriority w:val="99"/>
    <w:unhideWhenUsed/>
    <w:rsid w:val="00046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9FF58-5F91-4B3D-9DC1-A7760038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11274</Words>
  <Characters>64263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andy.tono@unpad.ac.id</dc:creator>
  <cp:keywords>G20 BALI LEADERS’ DECLARATION. 15-16 Nov 2022 (Bali, Indonesia)</cp:keywords>
  <dc:description/>
  <cp:lastModifiedBy>ANDY MOKHAMAD SUDARTONO</cp:lastModifiedBy>
  <cp:revision>3</cp:revision>
  <dcterms:created xsi:type="dcterms:W3CDTF">2022-11-16T18:30:00Z</dcterms:created>
  <dcterms:modified xsi:type="dcterms:W3CDTF">2022-11-16T18:33:00Z</dcterms:modified>
</cp:coreProperties>
</file>